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8</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2025年5月27日广州市海珠区人民法院在本院第一调解室A324举行本年度第8</w:t>
      </w:r>
      <w:bookmarkStart w:id="0" w:name="_GoBack"/>
      <w:bookmarkEnd w:id="0"/>
      <w:r>
        <w:rPr>
          <w:rStyle w:val="6"/>
          <w:rFonts w:hint="eastAsia"/>
          <w:lang w:val="en-US" w:eastAsia="zh-CN"/>
        </w:rPr>
        <w:t>期随机确定中介机构会议，现将结果公示如下：</w:t>
      </w:r>
    </w:p>
    <w:tbl>
      <w:tblPr>
        <w:tblStyle w:val="4"/>
        <w:tblW w:w="14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2" w:type="dxa"/>
            <w:gridSpan w:val="4"/>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773"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3068"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（2024）粤0105民初16767号</w:t>
            </w:r>
          </w:p>
        </w:tc>
        <w:tc>
          <w:tcPr>
            <w:tcW w:w="3325"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原告:李冬梅</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被告:广东联谊实业发展有限公司</w:t>
            </w:r>
          </w:p>
        </w:tc>
        <w:tc>
          <w:tcPr>
            <w:tcW w:w="3236"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对位于广州市海珠区敦和路上涌村广州大道边的名粤广场商住楼首层G89号单元进行测绘。委托编号（2025）委鉴150号</w:t>
            </w:r>
          </w:p>
        </w:tc>
        <w:tc>
          <w:tcPr>
            <w:tcW w:w="4773"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3.广东南粤房地产土地资产评估与规划测绘有限公司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1.广东金兰德房地产土地资产评估规划有限公司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（2025）粤0105刑医解1号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申请人:丁龙怀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被申请人:周月</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对被申请人周月的精神状态（病情）及人身危险性鉴定。委托编号（2025）委鉴148号</w:t>
            </w:r>
          </w:p>
        </w:tc>
        <w:tc>
          <w:tcPr>
            <w:tcW w:w="4773"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（2025）粤0105刑医解4号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申请人:广州市海珠区人民法院</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被申请人:李加洪</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精神状态（病情）及人身危险性鉴定。委托编号（2025）委鉴149号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1.广州医科大学附属脑科医院司法鉴定所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（2025）粤0105民特88号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申请人:广州市海珠区龙凤街金沙社区居民委员会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被申请人:何淑贤</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申请人广州市海珠区龙凤街金沙社区居民委员会申请对被申请人何淑贤进行民事行为能力鉴定。委托编号（2025）委鉴132号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1.广州医科大学附属脑科医院司法鉴定所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（2024）粤0105民诉前调36077号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原告:吴嘉韵</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被告:梁镇宇</w:t>
            </w:r>
          </w:p>
        </w:tc>
        <w:tc>
          <w:tcPr>
            <w:tcW w:w="3236" w:type="dxa"/>
            <w:noWrap w:val="0"/>
            <w:vAlign w:val="center"/>
          </w:tcPr>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申请对签约日期为2020年6月12日的《还款协议书》中债务人签名“梁镇宇”及指模的真实性，是否为申请人梁镇宇本人签署及捺印进行司法鉴定。委托编号（2025）委鉴143号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1.广东省绿色产品认证检测中心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5.广东明鉴文书司法鉴定所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（2025）粤0105民初9232号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原告:陈舒珊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被告:宋东荣</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对宋东荣和陈舒珊的亲子关系进行鉴定。委托编号（2025）委鉴130号</w:t>
            </w:r>
          </w:p>
        </w:tc>
        <w:tc>
          <w:tcPr>
            <w:tcW w:w="4773"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（2024）粤0105民诉前调9843号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原告:罗元进</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被告:东莞市龙泽物业服务有限公司广州分公司,东莞市龙泽物业服务有限公司,广州市汇盈房地产开发有限公司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案涉水泵、消防水泵运行产生的噪音及对广州市增城区新塘镇东坑三横路2号丰泰城市公馆2栋201房的影响（含倍频带声压级检测）进行检测；2.摩托车、汽车出入丰泰城市公馆北门车库产生的噪音及对丰泰城市公馆2栋201房的影响进行检测。委托编号（2025）委鉴146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3.深圳市政院检测有限公司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1.深圳市高迪科技有限公司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6.深圳市帕斯环境检测技术有限公司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（2024）粤0105民诉前调25925号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原告:劳霭仪,劳廼麟</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被告:王亮,广州越秀物业发展有限公司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宝岗大道杏坛大街7号8E房天花板漏水原因进行鉴定，并分析渗漏水与9E房、9E房洗手间北面外墙的公共排污管道漏水是否存在因果关系，并出具防水处理及修复处理的方案建议。委托编号（2025）委鉴147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7.广东保顺检测鉴定有限公司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8.广东中星检测鉴定有限公司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（2025）粤0105民初7586号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原告:佛山市顺德区仲波杰铝材不锈钢五金店</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被告:广州市东裕建设建材有限公司,广东省建筑工程集团有限公司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对涉案不锈钢材料（具体部位：生锈发黄的钢立柱及栏杆扶手）是否达到304标准材质进行鉴定（地点：佛山市禅城区普君东路7号-佛山粤剧院项目）。委托编号（2025）委鉴145号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3.广东省科学院测试分析研究所（中国广州分析测试中心）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2.广州检验检测认证集团有限公司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5.广州明镜检测鉴定有限公司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（2025）粤0105民初9570号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原告:徐光俊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被告:何明柳,王贤智</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对徐光俊进行误工期鉴定。委托编号（2025）委鉴138号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（2025）粤0105民初9570号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原告:徐光俊</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被告:何明柳,王贤智</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对徐光俊进行伤残等级鉴定。委托编号（2025）委鉴139号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（2024）粤0105民诉前调33997号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原告:关涛</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被告:万全旺,万善雷</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原告关涛申请对其所受人身损害的伤残等级及误工期、护理期、营养期进行鉴定。委托编号（2025）委鉴134号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（2025）粤0105民初3334号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原告:李桐仁</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被告:刘广军</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原告李桐仁的伤残等级鉴定。委托编号（2025）委鉴135号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（2025）粤0105民初5021号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原告:崔庆开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被告:陈宗成</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原告崔庆开申请对其伤残等级及营养期、护理期进行鉴定。委托编号（2025）委鉴136号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（2025）粤0105民初5158号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原告:李振宇</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被告:罗剑雯,黄伟东,中国人民财产保险股份有限公司广州市分公司;第三人:欧灵</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原告李振宇申请对其人体损伤伤残等级及营养期、护理期、误工期、后续治疗费用进行鉴定。委托编号（2025）委鉴137号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（2025）粤0105民初6830号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原告:刘仁富</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被告:刘有宸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对申请人刘仁富因本案交通事故造成的伤残等级、护理期、误工期、营养期进行鉴定。委托编号（2025）委鉴140号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（2025）粤0105民初3798号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原告:黄锐冰</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被告:广州泰宁养老院有限公司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对申请人黄锐冰因本案事故造成的伤残等级进行鉴定。委托编号（2025）委鉴141号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（2024）粤0105民诉前调31821号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原告:蔡桂林</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被告:周进新,姚金宝,中国人民财产保险股份有限公司肇庆市分公司,众诚汽车保险股份有限公司广东分公司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对申请人蔡桂林因本案交通事故造成的伤残等级、护理期、误工期进行鉴定。委托编号（2025）委鉴142号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2.中山大学法医鉴定中心 </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（2024）粤0105民诉前调31905号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原告:林惠娟</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被告:邓雪非、广州市卓越里程教育科技有限公司、中国平安财产保险股份有限公司广东分公司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对申请人林惠娟因本案交通事故造成的伤残等级进行鉴定。委托编号（2025）委鉴144号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（2025）粤0105民初2224号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原告:张绍景</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被告:张绍湛</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对申请人张绍景造成的伤残等级进行鉴定。委托编号（2025）委鉴151号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（2024）粤0105民诉前调31137号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原告:谢惠娴</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被告:柯中海</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原告谢惠娴申请对其所受人身损害的伤残等级、营养期进行鉴定。委托编号（2025）委鉴133号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（2025）粤0105民初18730号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原告:易亚旺</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被告:李勇平</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对原告易亚旺因本案交通事故造成的损伤是否构成伤残及伤残等级进行鉴定。委托编号（2025）委鉴129号</w:t>
            </w:r>
          </w:p>
        </w:tc>
        <w:tc>
          <w:tcPr>
            <w:tcW w:w="4773"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 xml:space="preserve">6.广东司法警官职业学院司法鉴定中心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（2025）粤0105民初15619号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原告:王清华,王夕江</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被告:中山大学孙逸仙纪念医院</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对被告中山大学孙逸仙纪念医院治疗患者王培叶的诊疗行为是否存在过错、被告的诊疗行为与患者王培叶的人身损害结果之间是否存在因果关系及其参与度进行医疗损害司法鉴定。委托编号（2025）委鉴131号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12.北京明正司法鉴定中心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11.南京医科大学司法鉴定所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（2025）粤0105民初3314号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原告:蔡琤</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被告:广州睿斯医疗美容门诊部有限公司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对原告的伤残等级进行鉴定。委托编号（2025）委鉴126号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8.广东中一司法鉴定中心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17.湖南省湘雅司法鉴定中心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（2025）粤0105民初3314号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原告:蔡琤</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被告:广州睿斯医疗美容门诊部有限公司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对广州睿斯医疗美容门诊部有限公司对原告所实施的医疗行为及医疗过程进行医疗损害鉴定。委托编号（2025）委鉴127号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8.广东中一司法鉴定中心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17.湖南省湘雅司法鉴定中心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（2025）粤0105民初11219号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原告:陈宇杰</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被告:广东省第二人民医院</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对被告对原告实施的诊疗行为有无过错，诊疗行为与损害后果之间是否存在因果关系以及原因力大小进行鉴定，被告的过错导致原告损伤的护理期、误工期、营养期进行鉴定。委托编号（2025）委鉴128号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12.北京明正司法鉴定中心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402"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（2024）粤0105民初12058号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原告:广州工控万宝融资租赁有限公司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被告:广州万燕科技文化传媒有限公司,田文喜,杨云丽</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2024）粤0105民初12058号案件的租赁物（详见《售后回租合同》（万宝租赁【2021】年租字[015]号）及《售后回租合同之补充协议》（万宝租赁【2021】年补字[003]号）所附清单）价值进行评估，评估基准日为实际评估日。委托编号（2025）委评51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12.广东洋诚资产价格评估有限公司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7.广东信亚价格评估有限公司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4.广州市安衡价格事务所有限公司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02"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（2024）粤0105执恢681号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申请人:林东升</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被申请人:陈功荣</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以评估日为评估基准日，评估被执行人陈功荣名下位于连江县凤城镇国泰路1号鼎森中央公园二区地下室B-535车位的产权的市场价值。委托编号（2025）委评52号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3.深圳市国资源土地房地产资产评估</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有限公司广州分公司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9.广东腾业资产评估及土地房地产估价有限公司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41.广东信德资产评估与房地产土地估价有限公司广州分公司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（2025）粤0105民初2566号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原告:陈炫言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被告:叶云霞,林高山</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对位于广州市海珠区纺城东一街8号1004房（房产登记号：2014登记字1028988号）在2014年6月28日的市场价值进行评估。委托编号（2025）委评53号</w:t>
            </w:r>
          </w:p>
        </w:tc>
        <w:tc>
          <w:tcPr>
            <w:tcW w:w="4773"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40.广东扬诚资产评估土地房地产估价有限公司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39.深圳市国房土地房地产资产评估咨询有限公司广州分公司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14.广州合富房地产土地与资产评估咨询有限公司</w:t>
            </w:r>
          </w:p>
        </w:tc>
      </w:tr>
    </w:tbl>
    <w:p>
      <w:pPr>
        <w:jc w:val="right"/>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5月27日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63C85"/>
    <w:rsid w:val="28277AD9"/>
    <w:rsid w:val="2E651FDE"/>
    <w:rsid w:val="2F663C85"/>
    <w:rsid w:val="5431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2025-05-27T02:50:00Z</dcterms:created>
  <dc:creator>hzfy</dc:creator>
  <cp:lastModifiedBy>Administrator</cp:lastModifiedBy>
  <dcterms:modified xsi:type="dcterms:W3CDTF">2025-05-28T02:50:08Z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E4D398A1CF384BFCA56B798A28B2BECB</vt:lpwstr>
  </property>
</Properties>
</file>