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0"/>
        </w:tabs>
        <w:jc w:val="center"/>
        <w:rPr>
          <w:rFonts w:hint="eastAsia" w:ascii="仿宋_GB2312" w:eastAsia="仿宋_GB2312"/>
          <w:b/>
          <w:sz w:val="32"/>
          <w:szCs w:val="32"/>
        </w:rPr>
      </w:pPr>
      <w:r>
        <w:rPr>
          <w:rFonts w:hint="eastAsia" w:ascii="仿宋_GB2312" w:eastAsia="仿宋_GB2312"/>
          <w:b/>
          <w:sz w:val="32"/>
          <w:szCs w:val="32"/>
        </w:rPr>
        <w:t>202</w:t>
      </w:r>
      <w:r>
        <w:rPr>
          <w:rFonts w:hint="eastAsia" w:ascii="仿宋_GB2312" w:eastAsia="仿宋_GB2312"/>
          <w:b/>
          <w:sz w:val="32"/>
          <w:szCs w:val="32"/>
          <w:lang w:val="en-US" w:eastAsia="zh-CN"/>
        </w:rPr>
        <w:t>5</w:t>
      </w:r>
      <w:r>
        <w:rPr>
          <w:rFonts w:hint="eastAsia" w:ascii="仿宋_GB2312" w:eastAsia="仿宋_GB2312"/>
          <w:b/>
          <w:sz w:val="32"/>
          <w:szCs w:val="32"/>
        </w:rPr>
        <w:t>年第</w:t>
      </w:r>
      <w:r>
        <w:rPr>
          <w:rFonts w:hint="eastAsia" w:ascii="仿宋_GB2312" w:eastAsia="仿宋_GB2312"/>
          <w:b/>
          <w:sz w:val="32"/>
          <w:szCs w:val="32"/>
          <w:lang w:val="en-US" w:eastAsia="zh-CN"/>
        </w:rPr>
        <w:t>7</w:t>
      </w:r>
      <w:r>
        <w:rPr>
          <w:rFonts w:hint="eastAsia" w:ascii="仿宋_GB2312" w:eastAsia="仿宋_GB2312"/>
          <w:b/>
          <w:sz w:val="32"/>
          <w:szCs w:val="32"/>
        </w:rPr>
        <w:t>期摇珠公告</w:t>
      </w:r>
    </w:p>
    <w:p>
      <w:pPr>
        <w:rPr>
          <w:rFonts w:hint="eastAsia" w:ascii="仿宋_GB2312" w:eastAsia="仿宋_GB2312"/>
          <w:sz w:val="28"/>
          <w:szCs w:val="28"/>
          <w:lang w:val="en-US" w:eastAsia="zh-CN"/>
        </w:rPr>
      </w:pPr>
      <w:r>
        <w:rPr>
          <w:rFonts w:hint="eastAsia" w:ascii="仿宋_GB2312" w:eastAsia="仿宋_GB2312"/>
          <w:b/>
          <w:sz w:val="32"/>
          <w:szCs w:val="32"/>
        </w:rPr>
        <w:t xml:space="preserve">    </w:t>
      </w:r>
      <w:r>
        <w:rPr>
          <w:rFonts w:hint="eastAsia" w:ascii="仿宋_GB2312" w:eastAsia="仿宋_GB2312"/>
          <w:sz w:val="28"/>
          <w:szCs w:val="28"/>
        </w:rPr>
        <w:t xml:space="preserve"> 现定于</w:t>
      </w:r>
      <w:r>
        <w:rPr>
          <w:rFonts w:hint="eastAsia" w:ascii="仿宋_GB2312" w:eastAsia="仿宋_GB2312"/>
          <w:sz w:val="28"/>
          <w:szCs w:val="28"/>
          <w:lang w:val="en-US" w:eastAsia="zh-CN"/>
        </w:rPr>
        <w:t>2025</w:t>
      </w:r>
      <w:r>
        <w:rPr>
          <w:rFonts w:hint="eastAsia" w:ascii="仿宋_GB2312" w:eastAsia="仿宋_GB2312"/>
          <w:sz w:val="28"/>
          <w:szCs w:val="28"/>
        </w:rPr>
        <w:t>年</w:t>
      </w:r>
      <w:r>
        <w:rPr>
          <w:rFonts w:hint="eastAsia" w:ascii="仿宋_GB2312" w:eastAsia="仿宋_GB2312"/>
          <w:sz w:val="28"/>
          <w:szCs w:val="28"/>
          <w:lang w:val="en-US" w:eastAsia="zh-CN"/>
        </w:rPr>
        <w:t>5</w:t>
      </w:r>
      <w:r>
        <w:rPr>
          <w:rFonts w:hint="eastAsia" w:ascii="仿宋_GB2312" w:eastAsia="仿宋_GB2312"/>
          <w:sz w:val="28"/>
          <w:szCs w:val="28"/>
        </w:rPr>
        <w:t>月</w:t>
      </w:r>
      <w:r>
        <w:rPr>
          <w:rFonts w:hint="eastAsia" w:ascii="仿宋_GB2312" w:eastAsia="仿宋_GB2312"/>
          <w:sz w:val="28"/>
          <w:szCs w:val="28"/>
          <w:lang w:val="en-US" w:eastAsia="zh-CN"/>
        </w:rPr>
        <w:t>13</w:t>
      </w:r>
      <w:r>
        <w:rPr>
          <w:rFonts w:hint="eastAsia" w:ascii="仿宋_GB2312" w:eastAsia="仿宋_GB2312"/>
          <w:sz w:val="28"/>
          <w:szCs w:val="28"/>
        </w:rPr>
        <w:t>日下午3时在本院</w:t>
      </w:r>
      <w:r>
        <w:rPr>
          <w:rFonts w:hint="eastAsia" w:ascii="仿宋_GB2312" w:eastAsia="仿宋_GB2312"/>
          <w:sz w:val="28"/>
          <w:szCs w:val="28"/>
          <w:lang w:eastAsia="zh-CN"/>
        </w:rPr>
        <w:t>第一调解室（</w:t>
      </w:r>
      <w:r>
        <w:rPr>
          <w:rFonts w:hint="eastAsia" w:ascii="仿宋_GB2312" w:eastAsia="仿宋_GB2312"/>
          <w:sz w:val="28"/>
          <w:szCs w:val="28"/>
          <w:lang w:val="en-US" w:eastAsia="zh-CN"/>
        </w:rPr>
        <w:t>A324</w:t>
      </w:r>
      <w:r>
        <w:rPr>
          <w:rFonts w:hint="eastAsia" w:ascii="仿宋_GB2312" w:eastAsia="仿宋_GB2312"/>
          <w:sz w:val="28"/>
          <w:szCs w:val="28"/>
          <w:lang w:eastAsia="zh-CN"/>
        </w:rPr>
        <w:t>）</w:t>
      </w:r>
      <w:r>
        <w:rPr>
          <w:rFonts w:hint="eastAsia" w:ascii="仿宋_GB2312" w:eastAsia="仿宋_GB2312"/>
          <w:sz w:val="28"/>
          <w:szCs w:val="28"/>
        </w:rPr>
        <w:t>举行本年度第</w:t>
      </w:r>
      <w:r>
        <w:rPr>
          <w:rFonts w:hint="eastAsia" w:ascii="仿宋_GB2312" w:eastAsia="仿宋_GB2312"/>
          <w:sz w:val="28"/>
          <w:szCs w:val="28"/>
          <w:lang w:val="en-US" w:eastAsia="zh-CN"/>
        </w:rPr>
        <w:t>7</w:t>
      </w:r>
      <w:r>
        <w:rPr>
          <w:rFonts w:hint="eastAsia" w:ascii="仿宋_GB2312" w:eastAsia="仿宋_GB2312"/>
          <w:sz w:val="28"/>
          <w:szCs w:val="28"/>
        </w:rPr>
        <w:t>期摇珠大会。本次摇珠的中介机构</w:t>
      </w:r>
      <w:r>
        <w:rPr>
          <w:rFonts w:hint="eastAsia" w:ascii="仿宋_GB2312" w:eastAsia="仿宋_GB2312"/>
          <w:sz w:val="28"/>
          <w:szCs w:val="28"/>
          <w:lang w:val="en-US" w:eastAsia="zh-CN"/>
        </w:rPr>
        <w:t>代表有广东联信资产评估土地房地产估价有限公司、广东金兰德房地产土地资产评估规划有限公司、广东融达房地产土地资产评估咨询有限公司、广东南泰房地产土地资产评估有限公司。</w:t>
      </w:r>
    </w:p>
    <w:tbl>
      <w:tblPr>
        <w:tblStyle w:val="3"/>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3325"/>
        <w:gridCol w:w="3236"/>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7" w:type="dxa"/>
            <w:gridSpan w:val="4"/>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专业技术鉴定类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案号</w:t>
            </w:r>
          </w:p>
        </w:tc>
        <w:tc>
          <w:tcPr>
            <w:tcW w:w="332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当事人</w:t>
            </w:r>
          </w:p>
        </w:tc>
        <w:tc>
          <w:tcPr>
            <w:tcW w:w="323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委托事项</w:t>
            </w:r>
          </w:p>
        </w:tc>
        <w:tc>
          <w:tcPr>
            <w:tcW w:w="4258"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（2025）粤0105民特70号</w:t>
            </w:r>
          </w:p>
          <w:p>
            <w:pPr>
              <w:jc w:val="center"/>
              <w:rPr>
                <w:rFonts w:hint="eastAsia" w:ascii="宋体" w:hAnsi="宋体" w:eastAsia="宋体" w:cs="宋体"/>
                <w:sz w:val="24"/>
                <w:szCs w:val="24"/>
                <w:lang w:val="en-US" w:eastAsia="zh-CN"/>
              </w:rPr>
            </w:pPr>
          </w:p>
        </w:tc>
        <w:tc>
          <w:tcPr>
            <w:tcW w:w="3325" w:type="dxa"/>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申请人:杨惠娴</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被申请人:杨惠仪</w:t>
            </w:r>
          </w:p>
        </w:tc>
        <w:tc>
          <w:tcPr>
            <w:tcW w:w="3236" w:type="dxa"/>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摇珠确定三家鉴定机构，对被申请人的民事行为能力进行鉴定。委托编号（2025）委鉴109号</w:t>
            </w:r>
          </w:p>
        </w:tc>
        <w:tc>
          <w:tcPr>
            <w:tcW w:w="4258" w:type="dxa"/>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（2025）粤0105民特75号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申请人:陈英</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被申请人:罗为国</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对被申请人罗为国的民事行为能力进行鉴定。委托编号（2025）委鉴112号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（2024）粤0105民诉前调24022号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原告:陆秩颜</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被告:朱理明,朱理敏,朱启原,潘静文,广州市远州装饰工程设计有限公司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委托鉴定机构对涉案房屋海珠区厚德路86号之二404房的厨房天花板水管的渗漏水原因进行鉴定。委托编号（2025）委鉴117号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（2025）粤0105民初7734号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原告:顾思敏,李丽萍</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被告:郑桂英</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对广州市海珠区江燕路晓燕湾22号224房的卧室、客厅的漏水原因进行鉴定。委托编号（2025）委鉴118号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（2025）粤0105民初330号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原告:广州市建中混凝土有限公司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被告:广州市第四建筑工程有限公司,广州建筑股份有限公司,罗清文</w:t>
            </w:r>
          </w:p>
        </w:tc>
        <w:tc>
          <w:tcPr>
            <w:tcW w:w="3236"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对原告提交的证据《供货协议》上罗清文的签名和指印的真实性进行司法鉴定。委托编号（2025）委鉴120号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（2024）粤0105民诉前调23965号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原告:何小林,王琼华</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被告:广州财大物业管理有限公司,徐文伟,广州佰祥机电设备有限公司,广东康宝电器股份有限公司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被告广东康宝电器股份有限公司申请对涉案广州市海珠区赤沙石伦里四巷22号（18栋）502房里的“电热水器”正常使用时，是否符合质量标准进行鉴定。委托编号（2025）委鉴113号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（2025）粤0105民初3351号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原告:彭国彬</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被告:柯海远,中国大地财产保险股份有限公司广东分公司,中国大地财产保险股份有限公司湛江中心支公司赤坎营销服务部</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对原告彭国彬因本案交通事故造成的损伤是否构成伤残及伤残等级、护理期、误工期、营养期进行鉴定。委托编号（2025）委鉴115号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（2025）粤0105民诉前调18号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原告:杨世招</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被告:广州市骏盈货运代理有限公司、中国人寿财产保险股份有限公司深圳市分公司、谢炳元</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对原告杨世招因本案交通事故造成的损伤是否构成伤残及伤残等级、护理期、误工期、营养期进行鉴定。委托编号（2025）委鉴116号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（2025）粤0105民初3588号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原告:陈泽英</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被告:谢春华、东风电动车辆股份有限公司广州分公司、中国平安财产保险股份有限公司东莞分公司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对原告因案涉事故造成的损伤进行伤残等级、护理期、误工期鉴定。委托编号（2025）委鉴111号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8"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（2024）粤0105民诉前调6865号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原告:吴依婷</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被告:刘明蛟,中国平安财产保险股份有限公司广东分公司,刘汉秋,广州市同诚货的汽车有限公司,众诚汽车保险股份有限公司广东分公司,滴滴出行科技有限公司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对吴依婷的伤残等级、误工期、护理期、营养期进行鉴定。委托编号（2025）委鉴121号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（2025）粤0105民初8939号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原告:范远东</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被告:刘嘉,中国平安财产保险股份有限公司广东分公司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对申请人范远东因本案纠纷造成的伤残等级、护理期、误工期以及营养期进行鉴定。委托编号（2025）委鉴122号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（2025）粤0105民初6829号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原告:王青华</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被告:开平市苍城镇龙展木材加工厂,余玉龙,何胜利</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对申请人王青华因本案纠纷造成的伤残等级、误工期、护理期、营养期以及劳动能力进行鉴定。委托编号（2025）委鉴123号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（2025）粤0105民初3323号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原告:翟红飞</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被告:唐敦志</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对原告翟红飞进行伤残等级、营养期、护理期、误工期进行鉴定。委托编号（2025）委鉴114号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6"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（2025）粤0105民初3321号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原告:周兰兰</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被告:广州市海珠区素颜全脸美容院、广州禾悦医疗美容门诊部有限公司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摇珠确定三家鉴定机构，依次委托对被告和悦医疗美容门诊部对原告周兰兰实施的诊疗行为有无过错，诊疗行为与损害后果之间是否存在因果关系以及原因力大小进行鉴定，被告的过错导致原告损伤的伤残等级进行鉴定。委托编号（2025）委鉴110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（2024）粤0105民诉前调27536号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原告:梁艳</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被告:广州三泰阳医疗器械有限公司,欧有金</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第三人：陈凯瑞</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对广州培雅口腔门诊有限公司在2024年7月22日至2024年10月18日期间的账目进行审计。委托编号（2025）委鉴119号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887"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价格鉴证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（2025）粤0105民初2882号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原告:广州创靖杰自动化设备有限公司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被告:广东日腾科技有限公司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对本案涉及的进口减速机与国产减速机的市场价格进行评估鉴定，以明确双方争议的设备零部件价值差异。委托编号（2025）委评47号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（2024）粤0105民诉前调6291号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原告:李力新</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被告:中海物业管理广州有限公司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位于广州市海珠区滨江东路931号2504房的因水管井渗水的受影响程度及经济损失数额进行评估，（评估范围包括：1.二层公共卫生间的地面及储物柜；2.二层客厅及房间的实木地板，客厅的书柜及房间的衣柜；3.二层空调设备间的空调管线；4.首层天花及灯具），基准日为2023年10月19日。委托编号（2025）委评48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（2024）粤0105执4352号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申请方:广州银行股份有限公司珠江支行</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被申请方:王垒</w:t>
            </w:r>
          </w:p>
        </w:tc>
        <w:tc>
          <w:tcPr>
            <w:tcW w:w="3236"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以评估日为基准日，评估被执行人王垒名下位于广州市增城区新塘镇群星村顺华一路11号4幢201房内的物品价值进行评估，评估基准日以评估当天为准。委托编号（2025）委评49号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887"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房地产评估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（2024）粤0105执恢1166号</w:t>
            </w:r>
            <w:bookmarkStart w:id="0" w:name="_GoBack"/>
            <w:bookmarkEnd w:id="0"/>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申请人:刘敏华</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被申请人:邓斯敏</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以实际评估日为基准日，评估被申请人邓斯敏名下位于四会市东城街道清塘大道23座小车位3345号。委托编号（2025）委评50号</w:t>
            </w:r>
          </w:p>
        </w:tc>
        <w:tc>
          <w:tcPr>
            <w:tcW w:w="4258" w:type="dxa"/>
            <w:noWrap w:val="0"/>
            <w:vAlign w:val="center"/>
          </w:tcPr>
          <w:p>
            <w:pPr>
              <w:jc w:val="center"/>
              <w:rPr>
                <w:rFonts w:hint="eastAsia" w:ascii="宋体" w:hAnsi="宋体" w:eastAsia="宋体" w:cs="宋体"/>
                <w:sz w:val="24"/>
                <w:szCs w:val="24"/>
                <w:lang w:val="en-US" w:eastAsia="zh-CN"/>
              </w:rPr>
            </w:pPr>
          </w:p>
        </w:tc>
      </w:tr>
    </w:tbl>
    <w:p>
      <w:pPr>
        <w:jc w:val="right"/>
        <w:rPr>
          <w:rFonts w:hint="default" w:ascii="仿宋_GB2312" w:eastAsia="仿宋_GB2312"/>
          <w:sz w:val="28"/>
          <w:szCs w:val="28"/>
          <w:lang w:val="en-US" w:eastAsia="zh-CN"/>
        </w:rPr>
      </w:pPr>
      <w:r>
        <w:rPr>
          <w:rFonts w:hint="eastAsia" w:ascii="宋体" w:hAnsi="宋体" w:eastAsia="宋体" w:cs="宋体"/>
          <w:sz w:val="24"/>
          <w:szCs w:val="24"/>
          <w:lang w:val="en-US" w:eastAsia="zh-CN"/>
        </w:rPr>
        <w:t>202</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日</w:t>
      </w:r>
    </w:p>
    <w:p/>
    <w:p/>
    <w:p/>
    <w:p/>
    <w:p/>
    <w:sectPr>
      <w:pgSz w:w="16783" w:h="23757"/>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7C0AF6"/>
    <w:rsid w:val="09735491"/>
    <w:rsid w:val="0E9103ED"/>
    <w:rsid w:val="106F4084"/>
    <w:rsid w:val="33E54CB2"/>
    <w:rsid w:val="50B74CA6"/>
    <w:rsid w:val="517C0AF6"/>
    <w:rsid w:val="5C3125CF"/>
    <w:rsid w:val="752F2A92"/>
    <w:rsid w:val="78B62999"/>
    <w:rsid w:val="7E9F2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2025-05-08T12:08:00Z</dcterms:created>
  <dc:creator>Administrator</dc:creator>
  <cp:lastModifiedBy>Administrator</cp:lastModifiedBy>
  <dcterms:modified xsi:type="dcterms:W3CDTF">2025-05-09T01:35:25Z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2C2388F272C7487B8023AEDF60EE7316</vt:lpwstr>
  </property>
</Properties>
</file>