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ascii="方正小标宋简体" w:hAnsi="方正小标宋简体" w:eastAsia="方正小标宋简体" w:cs="方正小标宋简体"/>
          <w:b w:val="0"/>
          <w:bCs w:val="0"/>
          <w:sz w:val="44"/>
          <w:szCs w:val="44"/>
          <w:lang w:eastAsia="zh-CN"/>
        </w:rPr>
        <w:t>四层手推车</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ind w:firstLine="560"/>
        <w:jc w:val="left"/>
        <w:rPr>
          <w:rFonts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kern w:val="0"/>
          <w:sz w:val="32"/>
          <w:szCs w:val="32"/>
        </w:rPr>
        <w:t>此项目未达到政府采购公开招标限额起点金额</w:t>
      </w:r>
      <w:r>
        <w:rPr>
          <w:rFonts w:hint="eastAsia" w:ascii="宋体" w:hAnsi="宋体" w:eastAsia="宋体" w:cs="宋体"/>
          <w:kern w:val="0"/>
          <w:sz w:val="32"/>
          <w:szCs w:val="32"/>
        </w:rPr>
        <w:t>，</w:t>
      </w:r>
      <w:r>
        <w:rPr>
          <w:rFonts w:ascii="宋体" w:hAnsi="宋体" w:eastAsia="宋体" w:cs="宋体"/>
          <w:kern w:val="0"/>
          <w:sz w:val="32"/>
          <w:szCs w:val="32"/>
        </w:rPr>
        <w:t>可按零星采购</w:t>
      </w:r>
      <w:r>
        <w:rPr>
          <w:rFonts w:hint="eastAsia" w:ascii="宋体" w:hAnsi="宋体" w:eastAsia="宋体" w:cs="宋体"/>
          <w:kern w:val="0"/>
          <w:sz w:val="32"/>
          <w:szCs w:val="32"/>
        </w:rPr>
        <w:t>流程自行采购</w:t>
      </w:r>
      <w:r>
        <w:rPr>
          <w:rFonts w:ascii="宋体" w:hAnsi="宋体" w:eastAsia="宋体" w:cs="宋体"/>
          <w:kern w:val="0"/>
          <w:sz w:val="32"/>
          <w:szCs w:val="32"/>
        </w:rPr>
        <w:t>，</w:t>
      </w:r>
      <w:r>
        <w:rPr>
          <w:rFonts w:hint="eastAsia" w:ascii="宋体" w:hAnsi="宋体" w:eastAsia="宋体" w:cs="宋体"/>
          <w:kern w:val="0"/>
          <w:sz w:val="32"/>
          <w:szCs w:val="32"/>
        </w:rPr>
        <w:t>但</w:t>
      </w:r>
      <w:r>
        <w:rPr>
          <w:rFonts w:ascii="宋体" w:hAnsi="宋体" w:eastAsia="宋体" w:cs="宋体"/>
          <w:kern w:val="0"/>
          <w:sz w:val="32"/>
          <w:szCs w:val="32"/>
        </w:rPr>
        <w:t>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kern w:val="0"/>
          <w:sz w:val="32"/>
          <w:szCs w:val="32"/>
        </w:rPr>
        <w:t>招标人广州市海珠区人民法院通过内部对比评议方式评选</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四层手推车</w:t>
      </w:r>
      <w:r>
        <w:rPr>
          <w:rFonts w:hint="eastAsia" w:ascii="宋体" w:hAnsi="宋体" w:eastAsia="宋体" w:cs="宋体"/>
          <w:kern w:val="0"/>
          <w:sz w:val="32"/>
          <w:szCs w:val="32"/>
        </w:rPr>
        <w:t>采购项目的</w:t>
      </w:r>
      <w:r>
        <w:rPr>
          <w:rFonts w:ascii="宋体" w:hAnsi="宋体" w:eastAsia="宋体" w:cs="宋体"/>
          <w:kern w:val="0"/>
          <w:sz w:val="32"/>
          <w:szCs w:val="32"/>
        </w:rPr>
        <w:t>服务商，欢迎符合资格条件的单位前来投标。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一、项目名称：</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四层手推车</w:t>
      </w:r>
      <w:r>
        <w:rPr>
          <w:rFonts w:hint="eastAsia" w:ascii="宋体" w:hAnsi="宋体" w:eastAsia="宋体" w:cs="宋体"/>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二、项目地点：</w:t>
      </w:r>
      <w:r>
        <w:rPr>
          <w:rFonts w:ascii="宋体" w:hAnsi="宋体" w:eastAsia="宋体" w:cs="宋体"/>
          <w:kern w:val="0"/>
          <w:sz w:val="32"/>
          <w:szCs w:val="32"/>
        </w:rPr>
        <w:t>广州市</w:t>
      </w:r>
      <w:r>
        <w:rPr>
          <w:rFonts w:hint="eastAsia" w:ascii="宋体" w:hAnsi="宋体" w:eastAsia="宋体" w:cs="宋体"/>
          <w:kern w:val="0"/>
          <w:sz w:val="32"/>
          <w:szCs w:val="32"/>
        </w:rPr>
        <w:t>海珠区逸景路333号</w:t>
      </w:r>
      <w:r>
        <w:rPr>
          <w:rFonts w:ascii="宋体" w:hAnsi="宋体" w:eastAsia="宋体" w:cs="宋体"/>
          <w:kern w:val="0"/>
          <w:sz w:val="32"/>
          <w:szCs w:val="32"/>
        </w:rPr>
        <w:t>广州市海珠区人民法院</w:t>
      </w:r>
      <w:r>
        <w:rPr>
          <w:rFonts w:hint="eastAsia" w:ascii="宋体" w:hAnsi="宋体" w:eastAsia="宋体"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三、项目最高限价：</w:t>
      </w:r>
      <w:r>
        <w:rPr>
          <w:rFonts w:ascii="宋体" w:hAnsi="宋体" w:eastAsia="宋体" w:cs="宋体"/>
          <w:kern w:val="0"/>
          <w:sz w:val="32"/>
          <w:szCs w:val="32"/>
        </w:rPr>
        <w:t>人民币</w:t>
      </w:r>
      <w:r>
        <w:rPr>
          <w:rFonts w:hint="eastAsia" w:ascii="宋体" w:hAnsi="宋体" w:eastAsia="宋体" w:cs="宋体"/>
          <w:kern w:val="0"/>
          <w:sz w:val="32"/>
          <w:szCs w:val="32"/>
          <w:lang w:val="en-US" w:eastAsia="zh-CN"/>
        </w:rPr>
        <w:t>44850</w:t>
      </w:r>
      <w:r>
        <w:rPr>
          <w:rFonts w:ascii="宋体" w:hAnsi="宋体" w:eastAsia="宋体" w:cs="宋体"/>
          <w:kern w:val="0"/>
          <w:sz w:val="32"/>
          <w:szCs w:val="32"/>
        </w:rPr>
        <w:t>元</w:t>
      </w:r>
      <w:r>
        <w:rPr>
          <w:rFonts w:hint="eastAsia" w:ascii="宋体" w:hAnsi="宋体" w:eastAsia="宋体"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32"/>
          <w:szCs w:val="32"/>
        </w:rPr>
      </w:pPr>
      <w:r>
        <w:rPr>
          <w:rFonts w:ascii="宋体" w:hAnsi="宋体" w:eastAsia="宋体" w:cs="宋体"/>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32"/>
          <w:szCs w:val="32"/>
        </w:rPr>
      </w:pPr>
      <w:r>
        <w:rPr>
          <w:rFonts w:hint="eastAsia" w:ascii="宋体" w:hAnsi="宋体" w:eastAsia="宋体" w:cs="宋体"/>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32"/>
          <w:szCs w:val="32"/>
        </w:rPr>
      </w:pPr>
      <w:r>
        <w:rPr>
          <w:rFonts w:hint="eastAsia" w:ascii="宋体" w:hAnsi="宋体" w:eastAsia="宋体" w:cs="宋体"/>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32"/>
          <w:szCs w:val="32"/>
        </w:rPr>
      </w:pPr>
      <w:r>
        <w:rPr>
          <w:rFonts w:ascii="宋体" w:hAnsi="宋体" w:eastAsia="宋体" w:cs="宋体"/>
          <w:b/>
          <w:kern w:val="0"/>
          <w:sz w:val="32"/>
          <w:szCs w:val="32"/>
        </w:rPr>
        <w:t>五、项目</w:t>
      </w:r>
      <w:r>
        <w:rPr>
          <w:rFonts w:hint="eastAsia" w:ascii="宋体" w:hAnsi="宋体" w:eastAsia="宋体" w:cs="宋体"/>
          <w:b/>
          <w:kern w:val="0"/>
          <w:sz w:val="32"/>
          <w:szCs w:val="32"/>
        </w:rPr>
        <w:t>介绍</w:t>
      </w:r>
      <w:r>
        <w:rPr>
          <w:rFonts w:ascii="宋体" w:hAnsi="宋体" w:eastAsia="宋体" w:cs="宋体"/>
          <w:b/>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1、本次采购项目内容为</w:t>
      </w:r>
      <w:r>
        <w:rPr>
          <w:rFonts w:hint="eastAsia" w:ascii="宋体" w:hAnsi="宋体" w:eastAsia="宋体" w:cs="宋体"/>
          <w:kern w:val="0"/>
          <w:sz w:val="32"/>
          <w:szCs w:val="32"/>
          <w:lang w:eastAsia="zh-CN"/>
        </w:rPr>
        <w:t>四层手推车</w:t>
      </w:r>
      <w:r>
        <w:rPr>
          <w:rFonts w:hint="eastAsia" w:ascii="宋体" w:hAnsi="宋体" w:eastAsia="宋体" w:cs="宋体"/>
          <w:kern w:val="0"/>
          <w:sz w:val="32"/>
          <w:szCs w:val="32"/>
        </w:rPr>
        <w:t>，项目内容包括货物供货、运输、验收及相关服务，货物清单如下：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tbl>
      <w:tblPr>
        <w:tblStyle w:val="7"/>
        <w:tblpPr w:leftFromText="180" w:rightFromText="180" w:vertAnchor="text" w:horzAnchor="page" w:tblpX="1825" w:tblpY="243"/>
        <w:tblOverlap w:val="never"/>
        <w:tblW w:w="9190" w:type="dxa"/>
        <w:tblInd w:w="0" w:type="dxa"/>
        <w:tblLayout w:type="fixed"/>
        <w:tblCellMar>
          <w:top w:w="0" w:type="dxa"/>
          <w:left w:w="108" w:type="dxa"/>
          <w:bottom w:w="0" w:type="dxa"/>
          <w:right w:w="108" w:type="dxa"/>
        </w:tblCellMar>
      </w:tblPr>
      <w:tblGrid>
        <w:gridCol w:w="1276"/>
        <w:gridCol w:w="1770"/>
        <w:gridCol w:w="2483"/>
        <w:gridCol w:w="586"/>
        <w:gridCol w:w="540"/>
        <w:gridCol w:w="2535"/>
      </w:tblGrid>
      <w:tr>
        <w:tblPrEx>
          <w:tblCellMar>
            <w:top w:w="0" w:type="dxa"/>
            <w:left w:w="108" w:type="dxa"/>
            <w:bottom w:w="0" w:type="dxa"/>
            <w:right w:w="108" w:type="dxa"/>
          </w:tblCellMar>
        </w:tblPrEx>
        <w:trPr>
          <w:trHeight w:val="71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物资名称</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尺寸</w:t>
            </w:r>
          </w:p>
        </w:tc>
        <w:tc>
          <w:tcPr>
            <w:tcW w:w="248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材质</w:t>
            </w:r>
          </w:p>
        </w:tc>
        <w:tc>
          <w:tcPr>
            <w:tcW w:w="58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535"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样式</w:t>
            </w:r>
          </w:p>
        </w:tc>
      </w:tr>
      <w:tr>
        <w:tblPrEx>
          <w:tblCellMar>
            <w:top w:w="0" w:type="dxa"/>
            <w:left w:w="108" w:type="dxa"/>
            <w:bottom w:w="0" w:type="dxa"/>
            <w:right w:w="108" w:type="dxa"/>
          </w:tblCellMar>
        </w:tblPrEx>
        <w:trPr>
          <w:trHeight w:val="84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四层手推车</w:t>
            </w:r>
          </w:p>
        </w:tc>
        <w:tc>
          <w:tcPr>
            <w:tcW w:w="177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高1600MM,长720MM，宽400MM，4层隔板，每层净高430MM</w:t>
            </w:r>
          </w:p>
        </w:tc>
        <w:tc>
          <w:tcPr>
            <w:tcW w:w="24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层板厚1.2MM，四立柱直径25MM圆管。4 个万向轮，冷扎镀锌板+聚氨酯静音车轮，其中两个刹车轮，按样板规格及样式制作，</w:t>
            </w:r>
            <w:r>
              <w:rPr>
                <w:rFonts w:hint="eastAsia" w:ascii="宋体" w:hAnsi="宋体" w:eastAsia="宋体" w:cs="宋体"/>
                <w:color w:val="000000"/>
                <w:kern w:val="0"/>
                <w:sz w:val="20"/>
                <w:szCs w:val="20"/>
                <w:lang w:eastAsia="zh-CN"/>
              </w:rPr>
              <w:t>中标后需现场确认，以实际为准</w:t>
            </w:r>
            <w:r>
              <w:rPr>
                <w:rFonts w:hint="eastAsia" w:ascii="宋体" w:hAnsi="宋体" w:eastAsia="宋体" w:cs="宋体"/>
                <w:i w:val="0"/>
                <w:iCs w:val="0"/>
                <w:color w:val="000000"/>
                <w:kern w:val="0"/>
                <w:sz w:val="20"/>
                <w:szCs w:val="20"/>
                <w:u w:val="none"/>
                <w:lang w:val="en-US" w:eastAsia="zh-CN" w:bidi="ar"/>
              </w:rPr>
              <w:t>。质保期一年或以上。</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辆</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39</w:t>
            </w:r>
          </w:p>
        </w:tc>
        <w:tc>
          <w:tcPr>
            <w:tcW w:w="2535" w:type="dxa"/>
            <w:tcBorders>
              <w:top w:val="single" w:color="auto" w:sz="4" w:space="0"/>
              <w:bottom w:val="single" w:color="auto" w:sz="4" w:space="0"/>
              <w:right w:val="single" w:color="auto" w:sz="4" w:space="0"/>
            </w:tcBorders>
            <w:shd w:val="clear" w:color="auto" w:fill="auto"/>
            <w:vAlign w:val="center"/>
          </w:tcPr>
          <w:p>
            <w:pPr>
              <w:widowControl/>
              <w:jc w:val="center"/>
            </w:pPr>
            <w:r>
              <w:drawing>
                <wp:inline distT="0" distB="0" distL="0" distR="0">
                  <wp:extent cx="1280160" cy="1433195"/>
                  <wp:effectExtent l="0" t="0" r="15240" b="14605"/>
                  <wp:docPr id="1" name="图片 1" descr="H:\我的文档\WeChat Files\wxid_qfgkrmrmhqx422\FileStorage\Temp\ccb2fcb3f453f8dc4d71b44a3b5c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我的文档\WeChat Files\wxid_qfgkrmrmhqx422\FileStorage\Temp\ccb2fcb3f453f8dc4d71b44a3b5c771.jpg"/>
                          <pic:cNvPicPr>
                            <a:picLocks noChangeAspect="1" noChangeArrowheads="1"/>
                          </pic:cNvPicPr>
                        </pic:nvPicPr>
                        <pic:blipFill>
                          <a:blip r:embed="rId5" cstate="print">
                            <a:extLst>
                              <a:ext uri="{28A0092B-C50C-407E-A947-70E740481C1C}">
                                <a14:useLocalDpi xmlns:a14="http://schemas.microsoft.com/office/drawing/2010/main" val="0"/>
                              </a:ext>
                            </a:extLst>
                          </a:blip>
                          <a:srcRect l="21782" t="1" r="29515" b="-952"/>
                          <a:stretch>
                            <a:fillRect/>
                          </a:stretch>
                        </pic:blipFill>
                        <pic:spPr>
                          <a:xfrm>
                            <a:off x="0" y="0"/>
                            <a:ext cx="1277983" cy="1431341"/>
                          </a:xfrm>
                          <a:prstGeom prst="rect">
                            <a:avLst/>
                          </a:prstGeom>
                          <a:noFill/>
                          <a:ln>
                            <a:noFill/>
                          </a:ln>
                        </pic:spPr>
                      </pic:pic>
                    </a:graphicData>
                  </a:graphic>
                </wp:inline>
              </w:drawing>
            </w:r>
            <w:r>
              <w:rPr>
                <w:rFonts w:hint="eastAsia"/>
                <w:lang w:val="en-US" w:eastAsia="zh-CN"/>
              </w:rPr>
              <w:drawing>
                <wp:inline distT="0" distB="0" distL="114300" distR="114300">
                  <wp:extent cx="1240155" cy="1174115"/>
                  <wp:effectExtent l="0" t="0" r="17145" b="6985"/>
                  <wp:docPr id="4" name="图片 2" descr="G:\黄敏芳\采购资料\2025采购\手推车\图片\微信图片_20250416161113.jpg微信图片_2025041616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G:\黄敏芳\采购资料\2025采购\手推车\图片\微信图片_20250416161113.jpg微信图片_20250416161113"/>
                          <pic:cNvPicPr>
                            <a:picLocks noChangeAspect="1"/>
                          </pic:cNvPicPr>
                        </pic:nvPicPr>
                        <pic:blipFill>
                          <a:blip r:embed="rId6"/>
                          <a:stretch>
                            <a:fillRect/>
                          </a:stretch>
                        </pic:blipFill>
                        <pic:spPr>
                          <a:xfrm>
                            <a:off x="0" y="0"/>
                            <a:ext cx="1240155" cy="1174115"/>
                          </a:xfrm>
                          <a:prstGeom prst="rect">
                            <a:avLst/>
                          </a:prstGeom>
                          <a:noFill/>
                          <a:ln>
                            <a:noFill/>
                          </a:ln>
                        </pic:spPr>
                      </pic:pic>
                    </a:graphicData>
                  </a:graphic>
                </wp:inline>
              </w:drawing>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2、实施时间：在签订合同后20个日历天内完成交货及验收。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符合资格的服务商应当在报名时间截止前发送以下资料至我院零星采购专用邮箱gzhzcourtbgs3@gz.gov.cn，邮件标题请务必注明所报项目名称以及报名单位名称，以及项目联系人的联系电话，报名资料如下：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2、法定代表人证明书（含法定代表人身份证）扫描件；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5、货物清单，含报价、尺寸、材质等。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6、质保期（注明承诺：一年或以上）及售后服务承诺。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四层手推车</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w:t>
      </w:r>
      <w:r>
        <w:rPr>
          <w:rFonts w:hint="eastAsia" w:ascii="仿宋_GB2312" w:hAnsi="仿宋_GB2312" w:eastAsia="仿宋_GB2312" w:cs="仿宋_GB2312"/>
          <w:kern w:val="0"/>
          <w:sz w:val="32"/>
          <w:szCs w:val="32"/>
          <w:lang w:val="en-US" w:eastAsia="zh-CN"/>
        </w:rPr>
        <w:t>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49BE5C8F"/>
    <w:rsid w:val="4CB7366A"/>
    <w:rsid w:val="6741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uiPriority w:val="0"/>
    <w:rPr>
      <w:rFonts w:ascii="宋体" w:hAnsi="宋体" w:eastAsia="宋体" w:cs="Times New Roman"/>
      <w:sz w:val="24"/>
      <w:szCs w:val="24"/>
    </w:rPr>
  </w:style>
  <w:style w:type="character" w:customStyle="1" w:styleId="13">
    <w:name w:val="批注框文本 Char"/>
    <w:basedOn w:val="8"/>
    <w:link w:val="4"/>
    <w:semiHidden/>
    <w:uiPriority w:val="99"/>
    <w:rPr>
      <w:sz w:val="18"/>
      <w:szCs w:val="18"/>
    </w:rPr>
  </w:style>
  <w:style w:type="character" w:customStyle="1" w:styleId="14">
    <w:name w:val="标题 1 Char"/>
    <w:basedOn w:val="8"/>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2</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2025-04-22T08:08:00Z</cp:lastPrinted>
  <dcterms:modified xsi:type="dcterms:W3CDTF">2025-04-23T02:58:03Z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CF525F3724104BC3BACA8AD6C6718CDA</vt:lpwstr>
  </property>
</Properties>
</file>