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年第</w:t>
      </w:r>
      <w:r>
        <w:rPr>
          <w:rFonts w:hint="eastAsia" w:ascii="仿宋_GB2312" w:eastAsia="仿宋_GB2312"/>
          <w:b/>
          <w:sz w:val="32"/>
          <w:szCs w:val="32"/>
          <w:lang w:val="en-US" w:eastAsia="zh-CN"/>
        </w:rPr>
        <w:t>4</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4</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新鸿信土地房地产资产评估有限公司广州分公司、深圳市鹏信资产评估土地房地产估价有限公司广州分公司、广州合富房地产土地与资产评估咨询有限公司、广东中企华正诚资产房地产土地评估造价咨询有限公司。</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（2025）粤0105民初154号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原告:雷汉松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被告:周通</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对本案原告雷汉松与被告周通签订的《果林地承包合同》中租赁的小洲七社岁字果林地中心河以南地块进行面积测绘鉴定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）委鉴41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w:t>
            </w:r>
            <w:bookmarkStart w:id="0" w:name="_GoBack"/>
            <w:bookmarkEnd w:id="0"/>
            <w:r>
              <w:rPr>
                <w:rFonts w:hint="eastAsia" w:ascii="宋体" w:hAnsi="宋体" w:eastAsia="宋体" w:cs="宋体"/>
                <w:sz w:val="24"/>
                <w:szCs w:val="24"/>
                <w:lang w:val="en-US" w:eastAsia="zh-CN"/>
              </w:rPr>
              <w:t>5刑医解2号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被申请人:黄力行</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精神状态（病情）及人身危险性</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）委鉴48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（2024）粤0105民诉前调32053号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原告:冼国强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被告:周桓羽</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对广州市海珠区同福中路牛奶厂街1号之八501房的卫生间、厨房、房间出现漏水的原因进行鉴定，确定漏水是否与广州市海珠区同福中路牛奶厂街1号之八601房相关</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）委鉴42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（2025）粤0105民初3278号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原告:高建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被告:广州莘秀服装设计有限公司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高建申请鉴定事项一、《劳动关系解除协议书》中首部：乙方“高建”、身份证号码“5129221972*******”与《劳动关系解除协议书》底部：乙方“高建”、日期“2024.9.20”的生成时间及相互之间的笔迹是否一致；鉴定事项二：首部：乙方“高建”与《劳动关系解除协议书》底部：甲方处的盖章、乙方“高建”、日期“2024.9.20”、乙方处的指模是否生成于同一时间；鉴定事项三：《劳动关系解除协议书》乙方处的“高建”签名及指模是否是高建本人的字迹及高建本人的指模；</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（2025）粤0105民初2187号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原告:广州鑫辰门业有限公司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被告:广东文华建设发展有限公司、韦闻秋;第三人：广州时代国际控股有限公司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对原告广州鑫辰门业有限公司提交的《广州世贸服装城三楼拆装防火卷帘门合同》中“广东文华建设发展有限公司”盖章与《印章缴销回执》中“印章缴销前印迹”是否为同一印章加盖形成进行鉴定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）委鉴40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（2024）粤0105民诉前调19961号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原告:庄有经</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被告:李兴文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对原告庄有经因本次事故造成的伤残等级进行鉴定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）委鉴36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（2024）粤0105民诉前调29583号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原告:陈永晶</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被告:赵家怡、赵达新、中国平安财产保险股份有限公司广东分公司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对原告陈永晶因本次事故造成的伤残等级、误工期、护理期、营养期进行鉴定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）委鉴37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（2024）粤0105民诉前调28827号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原告:李亚钰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被告:余匹夫、中国人民财产保险股份有限公司广州市分公司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对原告李亚钰因本次事故产生的误工期、护理期、营养期进行鉴定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）委鉴38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（2024）粤0105民诉前调26683号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原告:胡淑婷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被告:广州市喜燃能源有限公司,喜威(中国)投资有限公司，中国人民财产保险股份有限公司苏州市分公司，鼎和财产保险股份有限公司广州中心支公司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对申请人胡淑婷因本案事故造成的伤残等级、后续治疗康复费用及误工期、护理期、营养期进行鉴定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）委鉴44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（2024）粤0105民诉前调28724号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原告:吴少明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被告:彭国友、中国人民财产保险股份有限公司广州分公司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对申请人吴少明因本案交通事故造成的伤残等级、护理期、营养期进行鉴定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）委鉴45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（2024）粤0105民诉前调23159号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原告:陈雯</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被告:黄志明,现代财产保险(中国)有限公司广东分公司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对申请人陈雯因本案纠纷造成的伤残等级进行鉴定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）委鉴47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（2024）粤0105民诉前调36043号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原告:黄思琳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被告:郭世林,广州市中通货运代理有限公司,中国人民财产保险股份有限公司佛山市分公司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对原告因案涉事故造成的损伤进行伤残等级及后续治疗费鉴定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）委鉴49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（2024）粤0105民诉前调36044号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原告:邝永平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被告:郭世林,广州市中通货运代理有限公司,中国人民财产保险股份有限公司佛山市分公司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对原告因案涉事故造成的损伤进行伤残等级及后续治疗费鉴定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（2025）粤0105民初6463号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原告:秦宇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被告:郑丽珊,邓智君</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对原告秦宇进行伤残等级鉴定，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（2024）粤0105民诉前调30935号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原告:吴兰丁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被告:广州漫途国际酒店管理有限公司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对原告吴兰丁进行伤残等级鉴定以及护理期、营养期、误工期进行鉴定，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）委鉴39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（2024）粤0105民诉前调33704号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原告:伍显财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被告:广州医科大学附属第二医院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对被告的诊疗行为是否存在过错及其过错行为与损失后果之间的因果关系原因力大小进行鉴定；及对原告的伤残等级、三期及后续治疗费进行鉴定，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（2024）粤0105民初12286号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原告:朱奇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被告:杨子千,温嘉明,易方勇</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对本案项目“AA智力竞技俱乐部”自2023年12月5日至2024年4月29日期间的盈亏情况（包括但不限于项目产生的现金收入、人工费用、设备设施费用、装修费用、物料采购费用等）进行清算，并进行司法审计。</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）委鉴46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保险公估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（2024）粤0105民诉前调15781号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原告:武汉道拓汽车服务有限公司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被告:中国大地财产保险股份有限公司广东分公司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被告中国大地财产保险股份有限公司广东分公司申请对案涉车辆粤CBH367号厢式运输车因本案2023年9月6日发生交通事故导致的车辆损失价格进行重新鉴定，并要求复勘验车</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（2024）粤0105民初21014号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原告:石富壬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被告:伍香留</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对广州建兴模具有限公司的股权价值进行评估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（2024）粤0105执恢855号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申请方:广州银行股份有限公司珠江支行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被申请方:广州洪森科技有限公司,钱广遴,李蕾</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被执行人广州洪森科技有限公司持有的：1、名称为：一种基于Tilera众核处理器的视频处理方法发明专利（申请号CN201510405214)）；2、名称为：基于流形学习的数据降维方法及装置的发明专利（申请号CN201610011619）的市场价值。评估日以评估基准日为准。</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（2022）粤0105执16422号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申请人:卜丙忱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被申请人:温秋华</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以评估日为评估基准日，委托评估被执行人温秋华名下位于广州市从化区温泉镇畔岛一街2号60号车位的市场价值进行评估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（2024）粤0105民诉前调27880号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原告:朱超亮</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被告:刘明霞</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对广州市海珠区南华中路368号首层商铺的装修工程造价进行鉴定，评估基准日为：2024年3月30日。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（2024）粤0105民诉前调7536号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原告:大成科创建设集团股份有限公司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被告:广州南天商业大广场建设发展有限公司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对“广州佳兆业中心项目”基坑支护工程进行造价鉴定，以2019年7月31日为评估基准日。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（2024）粤0105民诉前调18003号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原告:周立强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被告:广州云润生物科技有限公司,广东广润集团有限公司;第三人:深圳市中装建设集团股份有限公司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对涉案云润生物科研办公室基地项目A栋（标段一、标段二）以及B栋公寓精装修工程造价进行鉴定评估。评估基准日：标段一为2020年7月7日；标段二为2021年4月26日；B栋公寓为2021年7月9日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14</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05F71"/>
    <w:rsid w:val="17D05F71"/>
    <w:rsid w:val="2897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2025-03-14T02:19:00Z</dcterms:created>
  <dc:creator>Administrator</dc:creator>
  <cp:lastModifiedBy>Administrator</cp:lastModifiedBy>
  <dcterms:modified xsi:type="dcterms:W3CDTF">2025-03-14T03:39:23Z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