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1</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代表有暨南大学司法鉴定中心、 广东一方机动车鉴定评估有限公司、国众联资产评估土地房地产估价有限公司广州分公司、深圳市国资源土地房地产资产评估有限公司广州分公司。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8"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（2024）粤0105民初8318号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原告:广州城视文化传播有限公司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被告:广州市远州装饰工程设计有限公司、土巴兔集团股份有限公司</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案涉装修工程所搭建的钢结构是否符合双方约定标准或行业标准、是否存在质量问题、如存在质量问题的返修费用进行评估、鉴定，委托编号（2024）委鉴347号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（2024）粤0105民初12647号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原告:广州市海珠区林升水电批发部</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被告:广东构厦建设集团有限公司,应钧</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申请对《长期购销合同》中甲方公章“广州构厦建设工程有限公司”是否为广东构厦建设集团有限公司的印刻公章进行司法鉴定，委托编号（2025）委鉴8号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（2024）粤0105民诉前调27874号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原告:许江明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被告:黎扬伟,陈少钦,蔡福成,广州市千里行物流有限公司,亚太财产保险有限公司广东分公司,中国平安财产保险股份有限公司东莞分公司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对原告许江明于本次事故受伤的伤残等级、误工期、护理期进行鉴定，委托编号（2025）委鉴3号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（2024）粤0105民初20722号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原告:宋林森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被告:徐志林,张聪聪,中国人民财产保险股份有限公司珠海市分公司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原告申请对其的误工期、营养期、护理期进行鉴定，委托编号（2025）委鉴2号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（2024）粤0105民诉前调23973号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原告:杨龙江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被告:董啊福哥,广州市琛誉建筑装饰工程有限公司,中国平安财产保险股份有限公司广东分公司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对杨龙江的伤残等级、误工期、护理期进行鉴定，委托编号（2025）委鉴4号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（2024）粤0105民诉前调26885号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原告:黄玉莲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被告:吴红财,吴树立</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原告申请鉴定伤残等级、确定误工期、护理期、营养期等基础事实，委托编号（2025）委鉴5号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（2024）粤0105民诉前调27462号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原告:巴波儿</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被告:陈伟</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对申请人巴波儿因本案事故造成的伤残等级、误工期、护理期、营养期进行鉴定，委托编号（2025）委鉴7号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（2024）粤0105民诉前调31734号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原告:庄绿妹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被告:朱兰强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对原告庄绿妹的伤情作伤残等级鉴定，委托编号（2025）委鉴6号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（2024）粤0105民诉前调28337号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原告:符琼琼</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被告:广州速马赫体育策划有限公司,田隽奕,田威,周聪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对原告符琼琼于本次事故受伤的伤残等级、误工期、护理期进行鉴定。委托编号（2025）委鉴9号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（2024）粤0105民诉前调22465号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原告:广州市天泽贸易有限公司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被告:邓抗,王设,中国平安财产保险股份有限公司广东分公司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申请对涉案2024年2月6日交通事故对海珠区天泽加油站卸油口的损失情况及项目进行鉴定； </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申请对海珠区天泽加油站卸油口上述第一项损失项目在2024年2月6日进行修复所产生的维修费用进行价格评估鉴定； </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3、申请对原告所提交的对卸油口进行维修的报价表与本次交通事故的关联性进行鉴定。委托编号（2025）委评1号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（2024）粤0105民初13444号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原告:广东洁诺环保设备有限公司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被告:佛山市南海区格鸿会蔬菜店、欧树林、杨嘉明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申请对案涉四台豪华厕所进行鉴定，鉴定内容及顺序为：1.四台豪华厕所的受损是否可以恢复原状；2.如果可以恢复原状，则修复费用是多少，如果无法恢复原状，则每一台豪华厕所的原值是多少。评估基准日为2023年12月16日。委托编号（2025）委评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土地评估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（2024）粤0105执17220号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申请人:浙商银行股份有限公司广州分行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被申请人:广东信邦自动化设备集团有限公司,李罡,信邦（珠海）科创产业发展有限公司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信邦（珠海）科创产业发展有限公司（原名：国机（珠海）机器人科技园有限公司）名下所有的位于珠海市科技创新海岸北围兴中路北侧、新湾七路东侧S1地块国有建设用地使用权的市场价值及位于新湾七路东侧S1地块上盖建筑物的残值价进行评估，评估基准日为评估当日。委托编号（2025）委评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（2024）粤0105执11946号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申请人:广州塔旅游文化发展股份有限公司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被申请人:广州万燕科技文化传媒有限公司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委托评估被执行人广州万燕科技文化传媒有限公司名下遗留于广州市海珠区阅将西路222号广州塔4区的机器设备及物品一批（详看附件：物品清单），以评估日为评估基准日。委托编号（2025）委评9号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（2024）粤0105执保1957号、2641号、5699号、5706号、7960号、2502号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被申请人:段迎辉、曾志忠，盘泽华、韦小虎、李新、卢二妹、莫海央</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1957号案：以评估日为基准日,评估扣押的手机2部的市场价值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2641号案：以评估日为基准日,评估扣押的手机2部的市场价值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5699号案：以评估日为基准日,评估扣押的手机1部的市场价值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5706号案：以评估日为基准日,评估扣押的手机1部的市场价值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7960号案：以评估日为基准日,评估扣押的华为手机1部的市场价值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2502号案：以评估日为基准日,评估扣押的苹果6手机1部的市场价值。委托编号（2025）委评10号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（2024）粤0105民初14360号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原告:何德顺,张淑玲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被告:陈志强,陈志雄</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申请对位于广州市海珠区凤和乡下渡村东约二巷2号（现地址门牌已变更为：下渡路东约二巷4号）的房屋，就上述房地产价值进行鉴定（以鉴定人员上门之日作为鉴定基准日），委托编号（2025）委评2号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（2024）粤0105执11386号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申请人:广州市玥兴投资有限公司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被申请人:邹敏</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以评估日为评估基准日，评估被执行人邹敏名下位于广州市番禺区东环街东艺路150号金山谷上苑七期地下室地下一层055号汽车位的市场价值，委托编号（2025）委评3号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（2024）粤0105执15797号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申请人:李文辉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被申请人:卢女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委托评估被执行人卢女与申请执行人李文辉共有的位于广州市海珠区工业大道上泉塘七巷9号房屋产权的市场价值，以评估日为评估基准日。委托编号（2025）委评11号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（2024）粤0105执11998号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申请人:姚皓宁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被申请人:黄玉兰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委托评估申请执行人姚皓宁名下位于广州海珠区叶泉街1号地下二层51车位的市场价值，以评估日为评估基准日。委托编号（2025）委评12号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（2024）粤0105执4211号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申请人:广州银行股份有限公司珠江支行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被申请人:张炳明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对被执行人张炳明名下位于广州市荔湾区康王南路287号首层B08铺的市场价进行评估，以评估</w:t>
            </w:r>
            <w:bookmarkStart w:id="0" w:name="_GoBack"/>
            <w:bookmarkEnd w:id="0"/>
            <w:r>
              <w:rPr>
                <w:rFonts w:hint="eastAsia" w:ascii="宋体" w:hAnsi="宋体" w:eastAsia="宋体" w:cs="宋体"/>
                <w:sz w:val="24"/>
                <w:szCs w:val="24"/>
                <w:lang w:val="en-US" w:eastAsia="zh-CN"/>
              </w:rPr>
              <w:t>日为基准日。</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（2024）粤0105民诉前调18123号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原告:广州汉青园林绿化工程有限公司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被告:广州市香雪制药股份有限公司,广州香岚健康产业有限公司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对申请人承包的“官洲健康论坛总部项目道路园建石材工程”进行工程造价鉴定。基准日：2022年8月25日。委托编号（2025）委评4号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（2024）粤0105民初19386号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原告:广州诗玛设计装饰有限公司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被告:广州市海珠区楚粤府餐饮店（个体工商户）,宋敦科</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原告申请对案涉装修工程工程量及工程造价进行审计，评估基准时间：2024年2月5日-2024年4月18日。委托编号（2025）委评5号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（2024）粤0105民诉前调19408号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原告:阳江市恒宇安防科技有限公司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被告:广州香岚健康产业有限公司,广州市香雪制药股份有限公司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三楼会议弱电智能化系统工程，三楼A/B区及一楼B区智能照明工程、量化工程、客房智能设备及RCU控制安装工程等（详见合同内湾工程汇总表）的工程造价及工程量（鉴定基准日2022年7月30日）。委托编号（2025）委评</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07132"/>
    <w:rsid w:val="05BE7475"/>
    <w:rsid w:val="0ADC132C"/>
    <w:rsid w:val="0C795057"/>
    <w:rsid w:val="1498745C"/>
    <w:rsid w:val="14C50966"/>
    <w:rsid w:val="20562AC3"/>
    <w:rsid w:val="239B1CAF"/>
    <w:rsid w:val="2B441A5B"/>
    <w:rsid w:val="2C745E45"/>
    <w:rsid w:val="3CC345A2"/>
    <w:rsid w:val="3D607648"/>
    <w:rsid w:val="403207F7"/>
    <w:rsid w:val="46A04451"/>
    <w:rsid w:val="47721F2F"/>
    <w:rsid w:val="4A590E35"/>
    <w:rsid w:val="521F3F25"/>
    <w:rsid w:val="5B007132"/>
    <w:rsid w:val="5CA45B15"/>
    <w:rsid w:val="5CDC047F"/>
    <w:rsid w:val="5F2F01E1"/>
    <w:rsid w:val="61947F5B"/>
    <w:rsid w:val="6BC71062"/>
    <w:rsid w:val="72A1030D"/>
    <w:rsid w:val="748358D0"/>
    <w:rsid w:val="77F1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2025-01-09T07:42:00Z</dcterms:created>
  <dc:creator>Administrator</dc:creator>
  <cp:lastModifiedBy>Administrator</cp:lastModifiedBy>
  <dcterms:modified xsi:type="dcterms:W3CDTF">2025-01-13T07:11:26Z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