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63527">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bookmarkStart w:id="0" w:name="_GoBack"/>
      <w:bookmarkEnd w:id="0"/>
      <w:r>
        <w:rPr>
          <w:rFonts w:hint="eastAsia" w:ascii="仿宋_GB2312" w:hAnsi="仿宋_GB2312" w:eastAsia="仿宋_GB2312"/>
          <w:b/>
          <w:bCs/>
          <w:sz w:val="36"/>
          <w:szCs w:val="36"/>
          <w:lang w:val="en-US" w:eastAsia="zh-CN"/>
        </w:rPr>
        <w:t>22</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2A86A6C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Fonts w:hint="eastAsia" w:ascii="仿宋_GB2312" w:eastAsia="仿宋_GB2312"/>
          <w:sz w:val="28"/>
          <w:szCs w:val="28"/>
        </w:rPr>
        <w:t xml:space="preserve"> </w:t>
      </w:r>
      <w:r>
        <w:rPr>
          <w:rStyle w:val="6"/>
          <w:rFonts w:hint="eastAsia"/>
          <w:lang w:val="en-US" w:eastAsia="zh-CN"/>
        </w:rPr>
        <w:t>2024年12月24日广州市海珠区人民法院在本院第一调解室A324举行本年度第22期随机确定中介机构会议，现将结果公示：</w:t>
      </w:r>
    </w:p>
    <w:tbl>
      <w:tblPr>
        <w:tblStyle w:val="4"/>
        <w:tblW w:w="14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590"/>
      </w:tblGrid>
      <w:tr w14:paraId="0E00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9" w:type="dxa"/>
            <w:gridSpan w:val="4"/>
            <w:noWrap w:val="0"/>
            <w:vAlign w:val="top"/>
          </w:tcPr>
          <w:p w14:paraId="61A16D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771A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5076D6A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14:paraId="4ED4A7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14:paraId="6AB1BF2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590" w:type="dxa"/>
            <w:noWrap w:val="0"/>
            <w:vAlign w:val="top"/>
          </w:tcPr>
          <w:p w14:paraId="250EE6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2F40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3068" w:type="dxa"/>
            <w:noWrap w:val="0"/>
            <w:vAlign w:val="top"/>
          </w:tcPr>
          <w:p w14:paraId="7F7E60CC">
            <w:pPr>
              <w:jc w:val="center"/>
              <w:rPr>
                <w:rFonts w:hint="eastAsia" w:ascii="宋体" w:hAnsi="宋体" w:eastAsia="宋体" w:cs="宋体"/>
                <w:b/>
                <w:bCs/>
                <w:sz w:val="36"/>
                <w:szCs w:val="36"/>
                <w:lang w:val="en-US" w:eastAsia="zh-CN"/>
              </w:rPr>
            </w:pPr>
          </w:p>
          <w:p w14:paraId="4E90BAD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（2024）粤0105民初5628号</w:t>
            </w:r>
          </w:p>
        </w:tc>
        <w:tc>
          <w:tcPr>
            <w:tcW w:w="3325" w:type="dxa"/>
            <w:noWrap w:val="0"/>
            <w:vAlign w:val="top"/>
          </w:tcPr>
          <w:p w14:paraId="2A9188B2">
            <w:pPr>
              <w:jc w:val="center"/>
              <w:rPr>
                <w:rFonts w:hint="eastAsia" w:ascii="宋体" w:hAnsi="宋体" w:eastAsia="宋体" w:cs="宋体"/>
                <w:b/>
                <w:bCs/>
                <w:sz w:val="36"/>
                <w:szCs w:val="36"/>
                <w:lang w:val="en-US" w:eastAsia="zh-CN"/>
              </w:rPr>
            </w:pPr>
          </w:p>
          <w:p w14:paraId="531D47C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原告:周继忠,周继华</w:t>
            </w:r>
          </w:p>
          <w:p w14:paraId="3868C6C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被告:中国工商银行股份有限公司广州琶洲人工智能与数字经济试验区支行</w:t>
            </w:r>
          </w:p>
        </w:tc>
        <w:tc>
          <w:tcPr>
            <w:tcW w:w="3236" w:type="dxa"/>
            <w:noWrap w:val="0"/>
            <w:vAlign w:val="top"/>
          </w:tcPr>
          <w:p w14:paraId="20CA76A1">
            <w:pPr>
              <w:jc w:val="center"/>
              <w:rPr>
                <w:rFonts w:hint="eastAsia" w:ascii="宋体" w:hAnsi="宋体" w:eastAsia="宋体" w:cs="宋体"/>
                <w:b/>
                <w:bCs/>
                <w:sz w:val="36"/>
                <w:szCs w:val="36"/>
                <w:lang w:val="en-US" w:eastAsia="zh-CN"/>
              </w:rPr>
            </w:pPr>
          </w:p>
          <w:p w14:paraId="5A481D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对广州市海珠区革新路豆腐前街3号202房进行测绘，委托编号（2024）委鉴374号</w:t>
            </w:r>
          </w:p>
        </w:tc>
        <w:tc>
          <w:tcPr>
            <w:tcW w:w="4590" w:type="dxa"/>
            <w:noWrap w:val="0"/>
            <w:vAlign w:val="top"/>
          </w:tcPr>
          <w:p w14:paraId="048E3D46">
            <w:pPr>
              <w:jc w:val="center"/>
              <w:rPr>
                <w:rFonts w:hint="eastAsia" w:ascii="宋体" w:hAnsi="宋体" w:eastAsia="宋体" w:cs="宋体"/>
                <w:b/>
                <w:bCs/>
                <w:sz w:val="36"/>
                <w:szCs w:val="36"/>
                <w:lang w:val="en-US" w:eastAsia="zh-CN"/>
              </w:rPr>
            </w:pPr>
          </w:p>
          <w:p w14:paraId="4B4A5D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3.广东南粤房地产土地资产评估与规划测绘有限公司</w:t>
            </w:r>
          </w:p>
          <w:p w14:paraId="1980FFD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1.广东金兰德房地产土地资产评估规划有限公司</w:t>
            </w:r>
          </w:p>
        </w:tc>
      </w:tr>
      <w:tr w14:paraId="2C51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14:paraId="7D716A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（2024）粤0105民诉前调20058号</w:t>
            </w:r>
          </w:p>
        </w:tc>
        <w:tc>
          <w:tcPr>
            <w:tcW w:w="3325" w:type="dxa"/>
            <w:noWrap w:val="0"/>
            <w:vAlign w:val="center"/>
          </w:tcPr>
          <w:p w14:paraId="42F69F4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原告:王青</w:t>
            </w:r>
          </w:p>
          <w:p w14:paraId="3B5932E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被告:李湘</w:t>
            </w:r>
          </w:p>
        </w:tc>
        <w:tc>
          <w:tcPr>
            <w:tcW w:w="3236" w:type="dxa"/>
            <w:noWrap w:val="0"/>
            <w:vAlign w:val="center"/>
          </w:tcPr>
          <w:p w14:paraId="7125A5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对广州市海珠区建基路62号1004房的漏水区域的漏水原因进行鉴定，委托编号（2024）委鉴375号</w:t>
            </w:r>
          </w:p>
        </w:tc>
        <w:tc>
          <w:tcPr>
            <w:tcW w:w="4590" w:type="dxa"/>
            <w:noWrap w:val="0"/>
            <w:vAlign w:val="center"/>
          </w:tcPr>
          <w:p w14:paraId="09EFA8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1.广东建准检测技术有限公司</w:t>
            </w:r>
          </w:p>
          <w:p w14:paraId="5F0447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6.广东汇建检测鉴定有限公司</w:t>
            </w:r>
          </w:p>
          <w:p w14:paraId="0641820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5.广州仲恒房屋安全鉴定有限公司</w:t>
            </w:r>
          </w:p>
        </w:tc>
      </w:tr>
      <w:tr w14:paraId="6970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14:paraId="5FA682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（2024）粤0105民诉前调19684号</w:t>
            </w:r>
          </w:p>
        </w:tc>
        <w:tc>
          <w:tcPr>
            <w:tcW w:w="3325" w:type="dxa"/>
            <w:noWrap w:val="0"/>
            <w:vAlign w:val="center"/>
          </w:tcPr>
          <w:p w14:paraId="692F6A4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原告:井欣</w:t>
            </w:r>
          </w:p>
          <w:p w14:paraId="0EAE3EB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被告:江铭超,刘志祥</w:t>
            </w:r>
          </w:p>
        </w:tc>
        <w:tc>
          <w:tcPr>
            <w:tcW w:w="3236" w:type="dxa"/>
            <w:noWrap w:val="0"/>
            <w:vAlign w:val="center"/>
          </w:tcPr>
          <w:p w14:paraId="7CC319A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对广州市海珠区江南大道中路100号510-515房天花板漏水原因进行鉴定，委托编号（2024）委鉴376号</w:t>
            </w:r>
          </w:p>
        </w:tc>
        <w:tc>
          <w:tcPr>
            <w:tcW w:w="4590" w:type="dxa"/>
            <w:noWrap w:val="0"/>
            <w:vAlign w:val="center"/>
          </w:tcPr>
          <w:p w14:paraId="4BE4C59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6.广东汇建检测鉴定有限公司</w:t>
            </w:r>
          </w:p>
          <w:p w14:paraId="791005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5.广州仲恒房屋安全鉴定有限公司</w:t>
            </w:r>
          </w:p>
          <w:p w14:paraId="0A87A6E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8.广东中星检测鉴定有限公司</w:t>
            </w:r>
          </w:p>
        </w:tc>
      </w:tr>
      <w:tr w14:paraId="17A3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1A2AB05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（2024）粤0105民初20712号</w:t>
            </w:r>
          </w:p>
        </w:tc>
        <w:tc>
          <w:tcPr>
            <w:tcW w:w="3325" w:type="dxa"/>
            <w:noWrap w:val="0"/>
            <w:vAlign w:val="center"/>
          </w:tcPr>
          <w:p w14:paraId="57F5C1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原告:罗智玲</w:t>
            </w:r>
          </w:p>
          <w:p w14:paraId="2B5B74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被告:广州维伊医疗美容门诊部有限公司</w:t>
            </w:r>
          </w:p>
        </w:tc>
        <w:tc>
          <w:tcPr>
            <w:tcW w:w="3236" w:type="dxa"/>
            <w:noWrap w:val="0"/>
            <w:vAlign w:val="center"/>
          </w:tcPr>
          <w:p w14:paraId="681FD9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原告罗智玲申请对其2023年11月8日的麻醉记录单上的麻醉医师签名处祝磊的签名进行笔迹鉴定，委托编号（2024）委鉴365号</w:t>
            </w:r>
          </w:p>
        </w:tc>
        <w:tc>
          <w:tcPr>
            <w:tcW w:w="4590" w:type="dxa"/>
            <w:noWrap w:val="0"/>
            <w:vAlign w:val="center"/>
          </w:tcPr>
          <w:p w14:paraId="0EE43F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5.广东明鉴文书司法鉴定所</w:t>
            </w:r>
          </w:p>
          <w:p w14:paraId="28B013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9.广东司法警官职业学院司法鉴定中心 </w:t>
            </w:r>
          </w:p>
          <w:p w14:paraId="217C671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6.广东恒鑫司法鉴定所</w:t>
            </w:r>
          </w:p>
          <w:p w14:paraId="5BAAE9F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7.广东开元文书司法鉴定所</w:t>
            </w:r>
          </w:p>
          <w:p w14:paraId="66B3792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8.广东衡正司法鉴定所</w:t>
            </w:r>
          </w:p>
        </w:tc>
      </w:tr>
      <w:tr w14:paraId="122A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trPr>
        <w:tc>
          <w:tcPr>
            <w:tcW w:w="3068" w:type="dxa"/>
            <w:noWrap w:val="0"/>
            <w:vAlign w:val="center"/>
          </w:tcPr>
          <w:p w14:paraId="10B6BB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（2024）粤0105民诉前调26926号</w:t>
            </w:r>
          </w:p>
        </w:tc>
        <w:tc>
          <w:tcPr>
            <w:tcW w:w="3325" w:type="dxa"/>
            <w:noWrap w:val="0"/>
            <w:vAlign w:val="center"/>
          </w:tcPr>
          <w:p w14:paraId="680E547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原告:周慧珍</w:t>
            </w:r>
          </w:p>
          <w:p w14:paraId="60B37A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被告:吴有文、刘远东、广州市海珠区顺兴废旧物资购销部</w:t>
            </w:r>
          </w:p>
        </w:tc>
        <w:tc>
          <w:tcPr>
            <w:tcW w:w="3236" w:type="dxa"/>
            <w:noWrap w:val="0"/>
            <w:vAlign w:val="center"/>
          </w:tcPr>
          <w:p w14:paraId="449FAAF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落款日期1995年的12月25日《股份合作企业章程》上的“周慧珍”“吴有文”签名是否本人签名，落款日期1998年6月8日《股份合作企业章程》、落款日期1999年6月9日《股份合作企业章程》和落款日期1999年6月9日《股金转让证明》上的“周慧珍”签名是否本人签名，落款日期2005年11月20日《股东会决议或决定》和落款日期2006年12月25日《董事（股东）会决议或决定》上的周慧珍”“吴有文”签名是否本人签名进行笔迹鉴定。委托编号（2024）委鉴380号</w:t>
            </w:r>
          </w:p>
        </w:tc>
        <w:tc>
          <w:tcPr>
            <w:tcW w:w="4590" w:type="dxa"/>
            <w:noWrap w:val="0"/>
            <w:vAlign w:val="center"/>
          </w:tcPr>
          <w:p w14:paraId="2E6AE96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8.广东衡正司法鉴定所</w:t>
            </w:r>
          </w:p>
          <w:p w14:paraId="6E50152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3.广东天正司法鉴定中心</w:t>
            </w:r>
          </w:p>
          <w:p w14:paraId="581AFEA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9.广东司法警官职业学院司法鉴定中心</w:t>
            </w:r>
          </w:p>
          <w:p w14:paraId="376BF6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7.广东开元文书司法鉴定所</w:t>
            </w:r>
          </w:p>
          <w:p w14:paraId="3F11845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4.中国广州分析测试中心司法鉴定所</w:t>
            </w:r>
          </w:p>
        </w:tc>
      </w:tr>
      <w:tr w14:paraId="5CCA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44E351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（2024）粤0105民诉前调18967号</w:t>
            </w:r>
          </w:p>
        </w:tc>
        <w:tc>
          <w:tcPr>
            <w:tcW w:w="3325" w:type="dxa"/>
            <w:noWrap w:val="0"/>
            <w:vAlign w:val="center"/>
          </w:tcPr>
          <w:p w14:paraId="570389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原告:林婉婷</w:t>
            </w:r>
          </w:p>
          <w:p w14:paraId="205FDF3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被告:广州婷婷流行美甲店,吴诗婷</w:t>
            </w:r>
          </w:p>
        </w:tc>
        <w:tc>
          <w:tcPr>
            <w:tcW w:w="3236" w:type="dxa"/>
            <w:noWrap w:val="0"/>
            <w:vAlign w:val="center"/>
          </w:tcPr>
          <w:p w14:paraId="3FE48B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原告申请对其的伤残等级及误工期、护理期、营养期进行鉴定，委托编号（2024）委鉴370号</w:t>
            </w:r>
          </w:p>
        </w:tc>
        <w:tc>
          <w:tcPr>
            <w:tcW w:w="4590" w:type="dxa"/>
            <w:noWrap w:val="0"/>
            <w:vAlign w:val="center"/>
          </w:tcPr>
          <w:p w14:paraId="5B8F71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w:t>
            </w:r>
          </w:p>
          <w:p w14:paraId="7F7598E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定所</w:t>
            </w:r>
          </w:p>
          <w:p w14:paraId="7A4BF1A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43327E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78B1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2FC00FB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（2024）粤0105民诉前调18255号</w:t>
            </w:r>
          </w:p>
        </w:tc>
        <w:tc>
          <w:tcPr>
            <w:tcW w:w="3325" w:type="dxa"/>
            <w:noWrap w:val="0"/>
            <w:vAlign w:val="center"/>
          </w:tcPr>
          <w:p w14:paraId="1713A12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原告:陈兵</w:t>
            </w:r>
          </w:p>
          <w:p w14:paraId="7E6FBB4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被告:许泽楷</w:t>
            </w:r>
          </w:p>
        </w:tc>
        <w:tc>
          <w:tcPr>
            <w:tcW w:w="3236" w:type="dxa"/>
            <w:noWrap w:val="0"/>
            <w:vAlign w:val="center"/>
          </w:tcPr>
          <w:p w14:paraId="19EF20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对原告陈兵因2023年2月28日交通事故受伤的伤残等级进行评估鉴定，委托编号（2024）委鉴377号</w:t>
            </w:r>
          </w:p>
        </w:tc>
        <w:tc>
          <w:tcPr>
            <w:tcW w:w="4590" w:type="dxa"/>
            <w:noWrap w:val="0"/>
            <w:vAlign w:val="center"/>
          </w:tcPr>
          <w:p w14:paraId="1537A55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7E6DA9E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725132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05FD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3068" w:type="dxa"/>
            <w:noWrap w:val="0"/>
            <w:vAlign w:val="center"/>
          </w:tcPr>
          <w:p w14:paraId="1B597C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（2024）粤0105民诉前调18733号</w:t>
            </w:r>
          </w:p>
        </w:tc>
        <w:tc>
          <w:tcPr>
            <w:tcW w:w="3325" w:type="dxa"/>
            <w:noWrap w:val="0"/>
            <w:vAlign w:val="center"/>
          </w:tcPr>
          <w:p w14:paraId="40040D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原告:贺显晟</w:t>
            </w:r>
          </w:p>
          <w:p w14:paraId="253EC4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被告:广州市海珠区工业大道中小学、中国人民财产保险股份有限公司广州市分公司</w:t>
            </w:r>
          </w:p>
        </w:tc>
        <w:tc>
          <w:tcPr>
            <w:tcW w:w="3236" w:type="dxa"/>
            <w:noWrap w:val="0"/>
            <w:vAlign w:val="center"/>
          </w:tcPr>
          <w:p w14:paraId="114826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对原告贺显晟是否构成伤残、构成伤残等级、以及所需护理期、营养期、误工期进行评估鉴定，委托编号（2024）委鉴378号</w:t>
            </w:r>
          </w:p>
        </w:tc>
        <w:tc>
          <w:tcPr>
            <w:tcW w:w="4590" w:type="dxa"/>
            <w:noWrap w:val="0"/>
            <w:vAlign w:val="center"/>
          </w:tcPr>
          <w:p w14:paraId="5D66709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1176055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482DBE1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tc>
      </w:tr>
      <w:tr w14:paraId="07F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3068" w:type="dxa"/>
            <w:noWrap w:val="0"/>
            <w:vAlign w:val="center"/>
          </w:tcPr>
          <w:p w14:paraId="1688762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（2024）粤0105民诉前调7761号</w:t>
            </w:r>
          </w:p>
        </w:tc>
        <w:tc>
          <w:tcPr>
            <w:tcW w:w="3325" w:type="dxa"/>
            <w:noWrap w:val="0"/>
            <w:vAlign w:val="center"/>
          </w:tcPr>
          <w:p w14:paraId="3E497E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原告:刘天雄</w:t>
            </w:r>
          </w:p>
          <w:p w14:paraId="2D7E1EA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被告:王贤,原志光,何培权</w:t>
            </w:r>
          </w:p>
        </w:tc>
        <w:tc>
          <w:tcPr>
            <w:tcW w:w="3236" w:type="dxa"/>
            <w:noWrap w:val="0"/>
            <w:vAlign w:val="center"/>
          </w:tcPr>
          <w:p w14:paraId="3449E6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对刘天雄的伤残等级、误工期、护理期、营养期进行鉴定，委托编号（2024）委鉴379号</w:t>
            </w:r>
          </w:p>
        </w:tc>
        <w:tc>
          <w:tcPr>
            <w:tcW w:w="4590" w:type="dxa"/>
            <w:noWrap w:val="0"/>
            <w:vAlign w:val="center"/>
          </w:tcPr>
          <w:p w14:paraId="2BCF92D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22C93E6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38447BD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3A58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3068" w:type="dxa"/>
            <w:noWrap w:val="0"/>
            <w:vAlign w:val="center"/>
          </w:tcPr>
          <w:p w14:paraId="1D8452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（2024）粤0105民诉前调23674号</w:t>
            </w:r>
          </w:p>
        </w:tc>
        <w:tc>
          <w:tcPr>
            <w:tcW w:w="3325" w:type="dxa"/>
            <w:noWrap w:val="0"/>
            <w:vAlign w:val="center"/>
          </w:tcPr>
          <w:p w14:paraId="4EB40B2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原告:吴景秋</w:t>
            </w:r>
          </w:p>
          <w:p w14:paraId="47F46F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被告:肖驹、佛山市粤智菱电机有限公司、中国人寿财产保险股份有限公司佛山市顺德支公司</w:t>
            </w:r>
          </w:p>
        </w:tc>
        <w:tc>
          <w:tcPr>
            <w:tcW w:w="3236" w:type="dxa"/>
            <w:noWrap w:val="0"/>
            <w:vAlign w:val="center"/>
          </w:tcPr>
          <w:p w14:paraId="289C776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原告吴景秋申请对其所受人身损害的伤残等级进行鉴定，委托编号（2024）委鉴366号</w:t>
            </w:r>
          </w:p>
        </w:tc>
        <w:tc>
          <w:tcPr>
            <w:tcW w:w="4590" w:type="dxa"/>
            <w:noWrap w:val="0"/>
            <w:vAlign w:val="center"/>
          </w:tcPr>
          <w:p w14:paraId="6667D10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0F3B319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68651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6D60E3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34106FD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tc>
      </w:tr>
      <w:tr w14:paraId="27A0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4" w:hRule="atLeast"/>
        </w:trPr>
        <w:tc>
          <w:tcPr>
            <w:tcW w:w="3068" w:type="dxa"/>
            <w:noWrap w:val="0"/>
            <w:vAlign w:val="center"/>
          </w:tcPr>
          <w:p w14:paraId="73B06C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（2024）粤0105民诉前调17461号</w:t>
            </w:r>
          </w:p>
        </w:tc>
        <w:tc>
          <w:tcPr>
            <w:tcW w:w="3325" w:type="dxa"/>
            <w:noWrap w:val="0"/>
            <w:vAlign w:val="center"/>
          </w:tcPr>
          <w:p w14:paraId="27F739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原告:丁帅</w:t>
            </w:r>
          </w:p>
          <w:p w14:paraId="54F68F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被告:黎明生,广州运安建设工程有限公司,中国平安财产保险股份有限公司广州市黄埔支公司,华安财产保险股份有限公司广东分公司广州市天河支公司</w:t>
            </w:r>
          </w:p>
        </w:tc>
        <w:tc>
          <w:tcPr>
            <w:tcW w:w="3236" w:type="dxa"/>
            <w:noWrap w:val="0"/>
            <w:vAlign w:val="center"/>
          </w:tcPr>
          <w:p w14:paraId="7745A5A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原告丁帅申请对其所受人身损害的伤残等级、护理依赖程度、护理人数及护理期、营养期、误工期进行鉴定，委托编号（2024）委鉴367号</w:t>
            </w:r>
          </w:p>
        </w:tc>
        <w:tc>
          <w:tcPr>
            <w:tcW w:w="4590" w:type="dxa"/>
            <w:noWrap w:val="0"/>
            <w:vAlign w:val="center"/>
          </w:tcPr>
          <w:p w14:paraId="4951CB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191882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756B5C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62B8E36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158EC93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7E60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3068" w:type="dxa"/>
            <w:noWrap w:val="0"/>
            <w:vAlign w:val="center"/>
          </w:tcPr>
          <w:p w14:paraId="7296DED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（2024）粤0105民诉前调29452号</w:t>
            </w:r>
          </w:p>
        </w:tc>
        <w:tc>
          <w:tcPr>
            <w:tcW w:w="3325" w:type="dxa"/>
            <w:noWrap w:val="0"/>
            <w:vAlign w:val="center"/>
          </w:tcPr>
          <w:p w14:paraId="6ED7FE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原告:丁瑾瑜</w:t>
            </w:r>
          </w:p>
          <w:p w14:paraId="5505380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被告:黎明生、广州运安建设工程有限公司、中国平安财产保险股份有限公司广州市黄埔支公司、华安财产保险股份有限公司广东分公司广州市天河支公司</w:t>
            </w:r>
          </w:p>
        </w:tc>
        <w:tc>
          <w:tcPr>
            <w:tcW w:w="3236" w:type="dxa"/>
            <w:noWrap w:val="0"/>
            <w:vAlign w:val="center"/>
          </w:tcPr>
          <w:p w14:paraId="6BEA084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原告丁瑾瑜申请对其所受人身损害的伤残等级、护理依赖程度、护理人数及护理期、营养期进行鉴定，委托编号（2024）委鉴368号</w:t>
            </w:r>
          </w:p>
        </w:tc>
        <w:tc>
          <w:tcPr>
            <w:tcW w:w="4590" w:type="dxa"/>
            <w:noWrap w:val="0"/>
            <w:vAlign w:val="center"/>
          </w:tcPr>
          <w:p w14:paraId="181C7F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2D1058D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2B3188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34DA58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7474CE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407E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3068" w:type="dxa"/>
            <w:noWrap w:val="0"/>
            <w:vAlign w:val="center"/>
          </w:tcPr>
          <w:p w14:paraId="43B2091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（2024）粤0105民诉前调17319号</w:t>
            </w:r>
          </w:p>
        </w:tc>
        <w:tc>
          <w:tcPr>
            <w:tcW w:w="3325" w:type="dxa"/>
            <w:noWrap w:val="0"/>
            <w:vAlign w:val="center"/>
          </w:tcPr>
          <w:p w14:paraId="0C98505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原告:关瑞英</w:t>
            </w:r>
          </w:p>
          <w:p w14:paraId="1830F29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被告:潘诗婷,中国平安财产保险股份有限公司广州市番禺支公司,中国太平洋财产保险股份有限公司深圳分公司</w:t>
            </w:r>
          </w:p>
        </w:tc>
        <w:tc>
          <w:tcPr>
            <w:tcW w:w="3236" w:type="dxa"/>
            <w:noWrap w:val="0"/>
            <w:vAlign w:val="center"/>
          </w:tcPr>
          <w:p w14:paraId="11C4FDA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请求对申请人关瑞英的伤残等级、护理期、误工期进行鉴定，委托编号（2024）委鉴371号</w:t>
            </w:r>
          </w:p>
        </w:tc>
        <w:tc>
          <w:tcPr>
            <w:tcW w:w="4590" w:type="dxa"/>
            <w:noWrap w:val="0"/>
            <w:vAlign w:val="center"/>
          </w:tcPr>
          <w:p w14:paraId="0696C2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27FBD4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68F5616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23C106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70BD056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71DA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208ECA2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（2024）粤0105民诉前调20011号</w:t>
            </w:r>
          </w:p>
        </w:tc>
        <w:tc>
          <w:tcPr>
            <w:tcW w:w="3325" w:type="dxa"/>
            <w:noWrap w:val="0"/>
            <w:vAlign w:val="center"/>
          </w:tcPr>
          <w:p w14:paraId="530CA16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原告:陆小芳</w:t>
            </w:r>
          </w:p>
          <w:p w14:paraId="76CEE3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被告:广州东鼎润通环境有限公司</w:t>
            </w:r>
          </w:p>
        </w:tc>
        <w:tc>
          <w:tcPr>
            <w:tcW w:w="3236" w:type="dxa"/>
            <w:noWrap w:val="0"/>
            <w:vAlign w:val="center"/>
          </w:tcPr>
          <w:p w14:paraId="181917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对申请人陆小芳伤残等级、误工期、护理期、营养期进行鉴定，委托编号（2024）委鉴372号</w:t>
            </w:r>
          </w:p>
        </w:tc>
        <w:tc>
          <w:tcPr>
            <w:tcW w:w="4590" w:type="dxa"/>
            <w:noWrap w:val="0"/>
            <w:vAlign w:val="center"/>
          </w:tcPr>
          <w:p w14:paraId="6B2A7C4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8B956F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501366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0EA7A9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4C9DCF6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tc>
      </w:tr>
      <w:tr w14:paraId="34F2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3068" w:type="dxa"/>
            <w:noWrap w:val="0"/>
            <w:vAlign w:val="center"/>
          </w:tcPr>
          <w:p w14:paraId="286847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（2024）粤0105民诉前调27275号</w:t>
            </w:r>
          </w:p>
        </w:tc>
        <w:tc>
          <w:tcPr>
            <w:tcW w:w="3325" w:type="dxa"/>
            <w:noWrap w:val="0"/>
            <w:vAlign w:val="center"/>
          </w:tcPr>
          <w:p w14:paraId="7A9E69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原告:段石林</w:t>
            </w:r>
          </w:p>
          <w:p w14:paraId="4E82BC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被告:周爱冰,广东广林建设集团有限公司,广东宇晟建设工程有限公司</w:t>
            </w:r>
          </w:p>
        </w:tc>
        <w:tc>
          <w:tcPr>
            <w:tcW w:w="3236" w:type="dxa"/>
            <w:noWrap w:val="0"/>
            <w:vAlign w:val="center"/>
          </w:tcPr>
          <w:p w14:paraId="7D4D35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对原告段石林的伤情作伤残等级鉴定。委托编号（2024）委鉴382号</w:t>
            </w:r>
          </w:p>
        </w:tc>
        <w:tc>
          <w:tcPr>
            <w:tcW w:w="4590" w:type="dxa"/>
            <w:noWrap w:val="0"/>
            <w:vAlign w:val="center"/>
          </w:tcPr>
          <w:p w14:paraId="059C88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3392989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3DC46FD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03673B8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2D32139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tc>
      </w:tr>
      <w:tr w14:paraId="1994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3068" w:type="dxa"/>
            <w:noWrap w:val="0"/>
            <w:vAlign w:val="center"/>
          </w:tcPr>
          <w:p w14:paraId="13473C3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（2024）粤0105民诉前调22429号</w:t>
            </w:r>
          </w:p>
        </w:tc>
        <w:tc>
          <w:tcPr>
            <w:tcW w:w="3325" w:type="dxa"/>
            <w:noWrap w:val="0"/>
            <w:vAlign w:val="center"/>
          </w:tcPr>
          <w:p w14:paraId="3E07F77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原告:林宝琼</w:t>
            </w:r>
          </w:p>
          <w:p w14:paraId="269E76F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被告:陈益万,北京物天行朗供应链管理有限公司,中国平安财产保险股份有限公司广东分公司</w:t>
            </w:r>
          </w:p>
        </w:tc>
        <w:tc>
          <w:tcPr>
            <w:tcW w:w="3236" w:type="dxa"/>
            <w:noWrap w:val="0"/>
            <w:vAlign w:val="center"/>
          </w:tcPr>
          <w:p w14:paraId="2E725CA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1、原告林宝琼的伤残等级鉴定；2、误工期、护理期、营养期三期鉴定。委托编号（2024）委鉴381号</w:t>
            </w:r>
          </w:p>
        </w:tc>
        <w:tc>
          <w:tcPr>
            <w:tcW w:w="4590" w:type="dxa"/>
            <w:noWrap w:val="0"/>
            <w:vAlign w:val="center"/>
          </w:tcPr>
          <w:p w14:paraId="6E30FE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1E5658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3562E28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5CF1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3068" w:type="dxa"/>
            <w:noWrap w:val="0"/>
            <w:vAlign w:val="center"/>
          </w:tcPr>
          <w:p w14:paraId="4768857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（2024）粤0105民诉前调24251号</w:t>
            </w:r>
          </w:p>
        </w:tc>
        <w:tc>
          <w:tcPr>
            <w:tcW w:w="3325" w:type="dxa"/>
            <w:noWrap w:val="0"/>
            <w:vAlign w:val="center"/>
          </w:tcPr>
          <w:p w14:paraId="0F459C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原告:冯锟,冯铭聪</w:t>
            </w:r>
          </w:p>
          <w:p w14:paraId="5A85BB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被告:广州新海医院</w:t>
            </w:r>
          </w:p>
        </w:tc>
        <w:tc>
          <w:tcPr>
            <w:tcW w:w="3236" w:type="dxa"/>
            <w:noWrap w:val="0"/>
            <w:vAlign w:val="center"/>
          </w:tcPr>
          <w:p w14:paraId="2EACB0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原告申请对被告对患者唐智军的诊疗行为是否存在过错，过错和医疗损害之间是否存在因果关系和参与度进行鉴定。委托编号（2024）委鉴369号</w:t>
            </w:r>
          </w:p>
        </w:tc>
        <w:tc>
          <w:tcPr>
            <w:tcW w:w="4590" w:type="dxa"/>
            <w:noWrap w:val="0"/>
            <w:vAlign w:val="center"/>
          </w:tcPr>
          <w:p w14:paraId="6FEC1C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10.广东华生司法鉴定中心</w:t>
            </w:r>
          </w:p>
          <w:p w14:paraId="2FEBCE0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44C8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3068" w:type="dxa"/>
            <w:noWrap w:val="0"/>
            <w:vAlign w:val="center"/>
          </w:tcPr>
          <w:p w14:paraId="4ECED2C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（2023）粤0105民诉前调5557号</w:t>
            </w:r>
          </w:p>
        </w:tc>
        <w:tc>
          <w:tcPr>
            <w:tcW w:w="3325" w:type="dxa"/>
            <w:noWrap w:val="0"/>
            <w:vAlign w:val="center"/>
          </w:tcPr>
          <w:p w14:paraId="36C012E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原告:钟雪梨</w:t>
            </w:r>
          </w:p>
          <w:p w14:paraId="64F3EF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被告:南方医科大学珠江医院,中山大学附属第六医院</w:t>
            </w:r>
          </w:p>
        </w:tc>
        <w:tc>
          <w:tcPr>
            <w:tcW w:w="3236" w:type="dxa"/>
            <w:noWrap w:val="0"/>
            <w:vAlign w:val="center"/>
          </w:tcPr>
          <w:p w14:paraId="7BDB127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被告的诊疗行为是否存在过错？若存在过错，则被告的医疗过错行为与患者的损害后果之间是否存在因果关系，及造成患者人身损害后果的原因力大小进行鉴定，及原告的伤残等级、护理依赖、护理期、营养期进行鉴定。委托编号（2023）委鉴192号</w:t>
            </w:r>
          </w:p>
        </w:tc>
        <w:tc>
          <w:tcPr>
            <w:tcW w:w="4590" w:type="dxa"/>
            <w:noWrap w:val="0"/>
            <w:vAlign w:val="center"/>
          </w:tcPr>
          <w:p w14:paraId="029CBF2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9.广东通济司法鉴定中心</w:t>
            </w:r>
          </w:p>
          <w:p w14:paraId="2D4129B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13.北京法源司法科学证据鉴定中心</w:t>
            </w:r>
          </w:p>
          <w:p w14:paraId="0372418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tc>
      </w:tr>
      <w:tr w14:paraId="6897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068" w:type="dxa"/>
            <w:noWrap w:val="0"/>
            <w:vAlign w:val="center"/>
          </w:tcPr>
          <w:p w14:paraId="1A1D98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（2023）粤0105民诉前调19066号</w:t>
            </w:r>
          </w:p>
        </w:tc>
        <w:tc>
          <w:tcPr>
            <w:tcW w:w="3325" w:type="dxa"/>
            <w:noWrap w:val="0"/>
            <w:vAlign w:val="center"/>
          </w:tcPr>
          <w:p w14:paraId="04062F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原告:罗金田,罗秋霞,罗建明,罗建锋</w:t>
            </w:r>
          </w:p>
          <w:p w14:paraId="45321FA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被告:广州医科大学附属第二医院</w:t>
            </w:r>
          </w:p>
        </w:tc>
        <w:tc>
          <w:tcPr>
            <w:tcW w:w="3236" w:type="dxa"/>
            <w:noWrap w:val="0"/>
            <w:vAlign w:val="center"/>
          </w:tcPr>
          <w:p w14:paraId="78DBCDD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对广州医科大学附属第二医院对黄春英的诊疗行为进行过错鉴定；二、对广州医科大学附属第二医院对黄春英的诊疗行为与黄春英死亡之间的因果关系进行鉴定；三、对广州医科大学附属第二医院对黄春英的诊疗行为与黄春英死亡之间的因果关系的参与度进行鉴定。委托编号（2024）委鉴373号</w:t>
            </w:r>
          </w:p>
        </w:tc>
        <w:tc>
          <w:tcPr>
            <w:tcW w:w="4590" w:type="dxa"/>
            <w:noWrap w:val="0"/>
            <w:vAlign w:val="center"/>
          </w:tcPr>
          <w:p w14:paraId="1912E67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17.湖南省湘雅司法鉴定中心</w:t>
            </w:r>
          </w:p>
          <w:p w14:paraId="295239B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8.广东中一司法鉴定中心</w:t>
            </w:r>
          </w:p>
          <w:p w14:paraId="1E2FB33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12.北京明正司法鉴定中心</w:t>
            </w:r>
          </w:p>
          <w:p w14:paraId="61D573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9.广东通济司法鉴定中心</w:t>
            </w:r>
          </w:p>
          <w:p w14:paraId="53BB930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11.南京医科大学司法鉴定所</w:t>
            </w:r>
          </w:p>
        </w:tc>
      </w:tr>
      <w:tr w14:paraId="68AF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19" w:type="dxa"/>
            <w:gridSpan w:val="4"/>
            <w:noWrap w:val="0"/>
            <w:vAlign w:val="center"/>
          </w:tcPr>
          <w:p w14:paraId="2561C1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479C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3068" w:type="dxa"/>
            <w:noWrap w:val="0"/>
            <w:vAlign w:val="center"/>
          </w:tcPr>
          <w:p w14:paraId="651746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（2024）粤0105执867号</w:t>
            </w:r>
          </w:p>
        </w:tc>
        <w:tc>
          <w:tcPr>
            <w:tcW w:w="3325" w:type="dxa"/>
            <w:noWrap w:val="0"/>
            <w:vAlign w:val="center"/>
          </w:tcPr>
          <w:p w14:paraId="1FA268A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申请人:中国农业银行股份有限公司广州海珠支行</w:t>
            </w:r>
          </w:p>
          <w:p w14:paraId="174C60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被申请人:闵万春,黄勇</w:t>
            </w:r>
          </w:p>
        </w:tc>
        <w:tc>
          <w:tcPr>
            <w:tcW w:w="3236" w:type="dxa"/>
            <w:noWrap w:val="0"/>
            <w:vAlign w:val="center"/>
          </w:tcPr>
          <w:p w14:paraId="18CBAB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以评估日为评估基准日，评估被执行人闵万春名下位于广州市黄埔区敏兴街7号824房的房屋产权的市场价值，委托编号（2024）委评165号</w:t>
            </w:r>
          </w:p>
        </w:tc>
        <w:tc>
          <w:tcPr>
            <w:tcW w:w="4590" w:type="dxa"/>
            <w:noWrap w:val="0"/>
            <w:vAlign w:val="center"/>
          </w:tcPr>
          <w:p w14:paraId="535493C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16.广州市亿信资产评估与土地房地产估价有限公司</w:t>
            </w:r>
          </w:p>
          <w:p w14:paraId="3DA6A70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20.深圳市国咨土地房地产资产评估有限公司广州分公司</w:t>
            </w:r>
          </w:p>
          <w:p w14:paraId="2E71340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24.广东金兰德房地产土地资产评估规划有限公司</w:t>
            </w:r>
          </w:p>
        </w:tc>
      </w:tr>
    </w:tbl>
    <w:p w14:paraId="1CC1FDF0">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12月24日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310B"/>
    <w:rsid w:val="0DB93280"/>
    <w:rsid w:val="14276FAA"/>
    <w:rsid w:val="170D06D9"/>
    <w:rsid w:val="2CE43832"/>
    <w:rsid w:val="2EFC4E63"/>
    <w:rsid w:val="30B17ECF"/>
    <w:rsid w:val="36DF27D1"/>
    <w:rsid w:val="39B3310B"/>
    <w:rsid w:val="3E7C1B1C"/>
    <w:rsid w:val="41D35EF7"/>
    <w:rsid w:val="45D04389"/>
    <w:rsid w:val="4F5F701C"/>
    <w:rsid w:val="4F894099"/>
    <w:rsid w:val="5B323837"/>
    <w:rsid w:val="5C0D7E00"/>
    <w:rsid w:val="5FA10F8B"/>
    <w:rsid w:val="72CA214F"/>
    <w:rsid w:val="7E431733"/>
    <w:rsid w:val="7EEA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3280</Words>
  <Characters>3715</Characters>
  <Lines>0</Lines>
  <Paragraphs>0</Paragraphs>
  <TotalTime>3</TotalTime>
  <ScaleCrop>false</ScaleCrop>
  <LinksUpToDate>false</LinksUpToDate>
  <CharactersWithSpaces>3722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2024-12-24T02:33:00Z</dcterms:created>
  <dc:creator>hzfy</dc:creator>
  <cp:lastModifiedBy>Administrator</cp:lastModifiedBy>
  <dcterms:modified xsi:type="dcterms:W3CDTF">2024-12-25T02:12:39Z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8FB15CFBB3574ABF9D6F6A60D7E1A4FE</vt:lpwstr>
  </property>
</Properties>
</file>