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22</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22</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代表有广东洋诚资产价格</w:t>
      </w:r>
      <w:bookmarkStart w:id="0" w:name="_GoBack"/>
      <w:bookmarkEnd w:id="0"/>
      <w:r>
        <w:rPr>
          <w:rFonts w:hint="eastAsia" w:ascii="仿宋_GB2312" w:eastAsia="仿宋_GB2312"/>
          <w:sz w:val="28"/>
          <w:szCs w:val="28"/>
          <w:lang w:val="en-US" w:eastAsia="zh-CN"/>
        </w:rPr>
        <w:t>评估有限公司、暨南大学司法鉴定中心、</w:t>
      </w:r>
      <w:r>
        <w:rPr>
          <w:rFonts w:hint="default" w:ascii="仿宋_GB2312" w:eastAsia="仿宋_GB2312"/>
          <w:sz w:val="28"/>
          <w:szCs w:val="28"/>
          <w:lang w:val="en-US" w:eastAsia="zh-CN"/>
        </w:rPr>
        <w:t>广东广大法医临床司法鉴定所</w:t>
      </w:r>
      <w:r>
        <w:rPr>
          <w:rFonts w:hint="eastAsia" w:ascii="仿宋_GB2312" w:eastAsia="仿宋_GB2312"/>
          <w:sz w:val="28"/>
          <w:szCs w:val="28"/>
          <w:lang w:val="en-US" w:eastAsia="zh-CN"/>
        </w:rPr>
        <w:t>、广东金域司法鉴定所</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（2024）粤0105民初5628号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原告:周继忠,周继华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被告:中国工商银行股份有限公司广州琶洲人工智能与数字经济试验区支行</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对广州市海珠区革新路豆腐前街3号202房进行测绘</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）委鉴374</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（2024）粤0105民诉前调20058号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原告:王青</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被告:李湘</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对广州市海珠区建基路62号1004房的漏水区域的漏水原因进行鉴定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（2024）粤0105民诉前调19684号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原告:井欣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被告:江铭超,刘志祥</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对广州市海珠区江南大道中路100号510-515房天花板漏水原因进行鉴定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（2024）粤0105民初20712号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原告:罗智玲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被告:广州维伊医疗美容门诊部有限公司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原告罗智玲申请对其2023年11月8日的麻醉记录单上的麻醉医师签名处祝磊的签名进行笔迹鉴定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）委鉴365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（2024）粤0105民诉前调26926号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原告:周慧珍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被告:吴有文、刘远东、广州市海珠区顺兴废旧物资购销部</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落款日期1995年的12月25日《股份合作企业章程》上的“周慧珍”“吴有文”签名是否本人签名，落款日期1998年6月8日《股份合作企业章程》、落款日期1999年6月9日《股份合作企业章程》和落款日期1999年6月9日《股金转让证明》上的“周慧珍”签名是否本人签名，落款日期2005年11月20日《股东会决议或决定》和落款日期2006年12月25日《董事（股东）会决议或决定》上的周慧珍”“吴有文”签名是否本人签名进行笔迹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）委鉴380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（2024）粤0105民诉前调18967号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原告:林婉婷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被告:广州婷婷流行美甲店,吴诗婷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原告申请对其的伤残等级及误工期、护理期、营养期进行鉴定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（2024）粤0105民诉前调18255号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被告:许泽楷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对原告陈兵因2023年2月28日交通事故受伤的伤残等级进行评估鉴定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（2024）粤0105民诉前调18733号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原告:贺显晟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被告:广州市海珠区工业大道中小学、中国人民财产保险股份有限公司广州市分公司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对原告贺显晟是否构成伤残、构成伤残等级、以及所需护理期、营养期、误工期进行评估鉴定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（2024）粤0105民诉前调7761号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原告:刘天雄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被告:王贤,原志光,何培权</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对刘天雄的伤残等级、误工期、护理期、营养期进行鉴定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（2024）粤0105民诉前调23674号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原告:吴景秋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被告:肖驹、佛山市粤智菱电机有限公司、中国人寿财产保险股份有限公司佛山市顺德支公司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原告吴景秋申请对其所受人身损害的伤残等级进行鉴定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）委鉴366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（2024）粤0105民诉前调17461号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被告:黎明生,广州运安建设工程有限公司,中国平安财产保险股份有限公司广州市黄埔支公司,华安财产保险股份有限公司广东分公司广州市天河支公司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原告丁帅申请对其所受人身损害的伤残等级、护理依赖程度、护理人数及护理期、营养期、误工期进行鉴定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）委鉴367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（2024）粤0105民诉前调29452号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原告:丁瑾瑜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被告:黎明生、广州运安建设工程有限公司、中国平安财产保险股份有限公司广州市黄埔支公司、华安财产保险股份有限公司广东分公司广州市天河支公司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原告丁瑾瑜申请对其所受人身损害的伤残等级、护理依赖程度、护理人数及护理期、营养期进行鉴定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）委鉴368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（2024）粤0105民诉前调17319号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原告:关瑞英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被告:潘诗婷,中国平安财产保险股份有限公司广州市番禺支公司,中国太平洋财产保险股份有限公司深圳分公司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请求对申请人关瑞英的伤残等级、护理期、误工期进行鉴定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（2024）粤0105民诉前调20011号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原告:陆小芳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被告:广州东鼎润通环境有限公司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对申请人陆小芳伤残等级、误工期、护理期、营养期进行鉴定，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）委鉴372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（2024）粤0105民诉前调27275号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原告:段石林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被告:周爱冰,广东广林建设集团有限公司,广东宇晟建设工程有限公司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对原告段石林的伤情作伤残等级鉴定。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）委鉴382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（2024）粤0105民诉前调22429号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原告:林宝琼</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被告:陈益万,北京物天行朗供应链管理有限公司,中国平安财产保险股份有限公司广东分公司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1、原告林宝琼的伤残等级鉴定；2、误工期、护理期、营养期三期鉴定。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）委鉴381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（2024）粤0105民诉前调24251号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原告:冯锟,冯铭聪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被告:广州新海医院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原告申请对被告对患者唐智军的诊疗行为是否存在过错，过错和医疗损害之间是否存在因果关系和参与度进行鉴定。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）委鉴369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（2023）粤0105民诉前调5557号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原告:钟雪梨</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被告:南方医科大学珠江医院,中山大学附属第六医院</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对被告的诊疗行为是否存在过错？若存在过错，则被告的医疗过错行为与患者的损害后果之间是否存在因果关系，及造成患者人身损害后果的原因力大小进行鉴定，及原告的伤残等级、护理依赖、护理期、营养期进行鉴定。</w:t>
            </w:r>
            <w:r>
              <w:rPr>
                <w:rFonts w:hint="eastAsia" w:ascii="宋体" w:hAnsi="宋体" w:eastAsia="宋体" w:cs="宋体"/>
                <w:sz w:val="24"/>
                <w:szCs w:val="24"/>
                <w:lang w:val="en-US" w:eastAsia="zh-CN"/>
              </w:rPr>
              <w:t>委托编号（2023</w:t>
            </w:r>
            <w:r>
              <w:rPr>
                <w:rFonts w:hint="eastAsia" w:ascii="宋体" w:hAnsi="宋体" w:eastAsia="宋体" w:cs="宋体"/>
                <w:sz w:val="24"/>
                <w:szCs w:val="24"/>
                <w:lang w:val="en-US" w:eastAsia="zh-CN"/>
              </w:rPr>
              <w:t>）委鉴192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（2023）粤0105民诉前调19066号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原告:罗金田,罗秋霞,罗建明,罗建锋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对广州医科大学附属第二医院对黄春英的诊疗行为进行过错鉴定；二、对广州医科大学附属第二医院对黄春英的诊疗行为与黄春英死亡之间的因果关系进行鉴定；三、对广州医科大学附属第二医院对黄春英的诊疗行为与黄春英死亡之间的因果关系的参与度进行鉴定。</w:t>
            </w:r>
            <w:r>
              <w:rPr>
                <w:rFonts w:hint="eastAsia" w:ascii="宋体" w:hAnsi="宋体" w:eastAsia="宋体" w:cs="宋体"/>
                <w:sz w:val="24"/>
                <w:szCs w:val="24"/>
                <w:lang w:val="en-US" w:eastAsia="zh-CN"/>
              </w:rPr>
              <w:t>委托编号（202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）委鉴373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（2024）粤0105执867号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申请人:中国农业银行股份有限公司广州海珠支行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被申请人:闵万春,黄勇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以评估日为评估基准日，评估被执行人闵万春名下位于广州市黄埔区敏兴街7号824房的房屋产权的市场价值</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）委评165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3CE3"/>
    <w:rsid w:val="019353C8"/>
    <w:rsid w:val="18C05F0D"/>
    <w:rsid w:val="1BCA77D2"/>
    <w:rsid w:val="267E2D0D"/>
    <w:rsid w:val="27D22A4B"/>
    <w:rsid w:val="39EA562B"/>
    <w:rsid w:val="3B303CE3"/>
    <w:rsid w:val="3D7A2616"/>
    <w:rsid w:val="418B10EE"/>
    <w:rsid w:val="747B69CD"/>
    <w:rsid w:val="758C3653"/>
    <w:rsid w:val="7782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2024-12-20T01:04:00Z</dcterms:created>
  <dc:creator>Administrator</dc:creator>
  <cp:lastModifiedBy>Administrator</cp:lastModifiedBy>
  <dcterms:modified xsi:type="dcterms:W3CDTF">2024-12-20T03:25:05Z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