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4</w:t>
      </w:r>
      <w:r>
        <w:rPr>
          <w:rFonts w:hint="eastAsia" w:ascii="仿宋_GB2312" w:eastAsia="仿宋_GB2312"/>
          <w:b/>
          <w:sz w:val="32"/>
          <w:szCs w:val="32"/>
        </w:rPr>
        <w:t>年第</w:t>
      </w:r>
      <w:r>
        <w:rPr>
          <w:rFonts w:hint="eastAsia" w:ascii="仿宋_GB2312" w:eastAsia="仿宋_GB2312"/>
          <w:b/>
          <w:sz w:val="32"/>
          <w:szCs w:val="32"/>
          <w:lang w:val="en-US" w:eastAsia="zh-CN"/>
        </w:rPr>
        <w:t>18</w:t>
      </w:r>
      <w:r>
        <w:rPr>
          <w:rFonts w:hint="eastAsia" w:ascii="仿宋_GB2312" w:eastAsia="仿宋_GB2312"/>
          <w:b/>
          <w:sz w:val="32"/>
          <w:szCs w:val="32"/>
        </w:rPr>
        <w:t>期摇珠公告</w:t>
      </w:r>
    </w:p>
    <w:p>
      <w:pPr>
        <w:rPr>
          <w:rFonts w:hint="eastAsia" w:ascii="仿宋_GB2312" w:eastAsia="仿宋_GB2312"/>
          <w:sz w:val="28"/>
          <w:szCs w:val="28"/>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现定于202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11</w:t>
      </w:r>
      <w:r>
        <w:rPr>
          <w:rFonts w:hint="eastAsia" w:ascii="仿宋_GB2312" w:eastAsia="仿宋_GB2312"/>
          <w:sz w:val="28"/>
          <w:szCs w:val="28"/>
        </w:rPr>
        <w:t>月</w:t>
      </w:r>
      <w:r>
        <w:rPr>
          <w:rFonts w:hint="eastAsia" w:ascii="仿宋_GB2312" w:eastAsia="仿宋_GB2312"/>
          <w:sz w:val="28"/>
          <w:szCs w:val="28"/>
          <w:lang w:val="en-US" w:eastAsia="zh-CN"/>
        </w:rPr>
        <w:t>12</w:t>
      </w:r>
      <w:r>
        <w:rPr>
          <w:rFonts w:hint="eastAsia" w:ascii="仿宋_GB2312" w:eastAsia="仿宋_GB2312"/>
          <w:sz w:val="28"/>
          <w:szCs w:val="28"/>
        </w:rPr>
        <w:t>日下午3时在本院</w:t>
      </w:r>
      <w:r>
        <w:rPr>
          <w:rFonts w:hint="eastAsia" w:ascii="仿宋_GB2312" w:eastAsia="仿宋_GB2312"/>
          <w:sz w:val="28"/>
          <w:szCs w:val="28"/>
          <w:lang w:eastAsia="zh-CN"/>
        </w:rPr>
        <w:t>第一调解室（</w:t>
      </w:r>
      <w:r>
        <w:rPr>
          <w:rFonts w:hint="eastAsia" w:ascii="仿宋_GB2312" w:eastAsia="仿宋_GB2312"/>
          <w:sz w:val="28"/>
          <w:szCs w:val="28"/>
          <w:lang w:val="en-US" w:eastAsia="zh-CN"/>
        </w:rPr>
        <w:t>A324</w:t>
      </w:r>
      <w:r>
        <w:rPr>
          <w:rFonts w:hint="eastAsia" w:ascii="仿宋_GB2312" w:eastAsia="仿宋_GB2312"/>
          <w:sz w:val="28"/>
          <w:szCs w:val="28"/>
          <w:lang w:eastAsia="zh-CN"/>
        </w:rPr>
        <w:t>）</w:t>
      </w:r>
      <w:r>
        <w:rPr>
          <w:rFonts w:hint="eastAsia" w:ascii="仿宋_GB2312" w:eastAsia="仿宋_GB2312"/>
          <w:sz w:val="28"/>
          <w:szCs w:val="28"/>
        </w:rPr>
        <w:t>举行本年度第</w:t>
      </w:r>
      <w:r>
        <w:rPr>
          <w:rFonts w:hint="eastAsia" w:ascii="仿宋_GB2312" w:eastAsia="仿宋_GB2312"/>
          <w:sz w:val="28"/>
          <w:szCs w:val="28"/>
          <w:lang w:val="en-US" w:eastAsia="zh-CN"/>
        </w:rPr>
        <w:t>18</w:t>
      </w:r>
      <w:r>
        <w:rPr>
          <w:rFonts w:hint="eastAsia" w:ascii="仿宋_GB2312" w:eastAsia="仿宋_GB2312"/>
          <w:sz w:val="28"/>
          <w:szCs w:val="28"/>
        </w:rPr>
        <w:t>期摇珠大会。本次摇珠的中介机构</w:t>
      </w:r>
      <w:r>
        <w:rPr>
          <w:rFonts w:hint="eastAsia" w:ascii="仿宋_GB2312" w:eastAsia="仿宋_GB2312"/>
          <w:sz w:val="28"/>
          <w:szCs w:val="28"/>
          <w:lang w:val="en-US" w:eastAsia="zh-CN"/>
        </w:rPr>
        <w:t>代表有广东天正司法鉴定中心、中国广州分析测试中心司法鉴定所、</w:t>
      </w:r>
      <w:r>
        <w:rPr>
          <w:rFonts w:hint="default" w:ascii="仿宋_GB2312" w:eastAsia="仿宋_GB2312"/>
          <w:sz w:val="28"/>
          <w:szCs w:val="28"/>
          <w:lang w:val="en-US" w:eastAsia="zh-CN"/>
        </w:rPr>
        <w:t>广东明鉴文书司法鉴定所</w:t>
      </w:r>
      <w:r>
        <w:rPr>
          <w:rFonts w:hint="eastAsia" w:ascii="仿宋_GB2312" w:eastAsia="仿宋_GB2312"/>
          <w:sz w:val="28"/>
          <w:szCs w:val="28"/>
          <w:lang w:val="en-US" w:eastAsia="zh-CN"/>
        </w:rPr>
        <w:t>、</w:t>
      </w:r>
      <w:r>
        <w:rPr>
          <w:rFonts w:hint="default" w:ascii="仿宋_GB2312" w:eastAsia="仿宋_GB2312"/>
          <w:sz w:val="28"/>
          <w:szCs w:val="28"/>
          <w:lang w:val="en-US" w:eastAsia="zh-CN"/>
        </w:rPr>
        <w:t>广东开元文书司法鉴定所</w:t>
      </w:r>
      <w:r>
        <w:rPr>
          <w:rFonts w:hint="eastAsia" w:ascii="仿宋_GB2312" w:eastAsia="仿宋_GB2312"/>
          <w:sz w:val="28"/>
          <w:szCs w:val="28"/>
          <w:lang w:val="en-US" w:eastAsia="zh-CN"/>
        </w:rPr>
        <w:t>。</w:t>
      </w:r>
    </w:p>
    <w:tbl>
      <w:tblPr>
        <w:tblStyle w:val="3"/>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3325"/>
        <w:gridCol w:w="3236"/>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87" w:type="dxa"/>
            <w:gridSpan w:val="4"/>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案号</w:t>
            </w:r>
          </w:p>
        </w:tc>
        <w:tc>
          <w:tcPr>
            <w:tcW w:w="332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w:t>
            </w:r>
          </w:p>
        </w:tc>
        <w:tc>
          <w:tcPr>
            <w:tcW w:w="323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委托事项</w:t>
            </w:r>
          </w:p>
        </w:tc>
        <w:tc>
          <w:tcPr>
            <w:tcW w:w="425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（2024）粤0105民特204号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申请人:陈英</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被申请人:罗为国</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对被申请人罗为国的民事行为能力进行鉴定，</w:t>
            </w:r>
            <w:r>
              <w:rPr>
                <w:rFonts w:hint="eastAsia" w:ascii="宋体" w:hAnsi="宋体" w:eastAsia="宋体" w:cs="宋体"/>
                <w:sz w:val="24"/>
                <w:szCs w:val="24"/>
                <w:lang w:val="en-US" w:eastAsia="zh-CN"/>
              </w:rPr>
              <w:t>委托编号（2024）委鉴319</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0" w:hRule="atLeast"/>
        </w:trPr>
        <w:tc>
          <w:tcPr>
            <w:tcW w:w="3068"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（2024）粤0105民特198号</w:t>
            </w:r>
          </w:p>
        </w:tc>
        <w:tc>
          <w:tcPr>
            <w:tcW w:w="3325"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申请人:王晖</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被申请人:林郁芳</w:t>
            </w:r>
          </w:p>
        </w:tc>
        <w:tc>
          <w:tcPr>
            <w:tcW w:w="3236"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申请人王晖申请对被申请人林郁芳进行民事行为能力鉴定，委托编号（2024）委鉴310号</w:t>
            </w:r>
          </w:p>
        </w:tc>
        <w:tc>
          <w:tcPr>
            <w:tcW w:w="4258"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（2024）粤0105民初13465号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原告:郭梓婷</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被告:张心捷</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对原告之女郭妍妤与被告张心捷进行亲权鉴定，委托编号（2024）委鉴306号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（2024）粤0105民诉前调25672号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原告:胡燕媚</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被告:曾鹤鸣</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对广州市海珠区新港西路166号303房的主卧天花板、卫生间上方横梁的漏水原因进行鉴定，委托编号（2024）委鉴317号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（2024）粤0105民初1131号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原告:廖健能</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被告:广州地铁集团有限公司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对原告自2023年6月4日起至今是否具备民事行为能力进行鉴定，委托编号（2024）委鉴107号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（2024）粤0105民诉前调7008号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原告:李青妹</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被告:郑继林,安盛天平财产保险有限公司珠海中心支公司,五华县水寨镇岑杰添商务代办中心、大家财产保险有限责任公司广东分公司</w:t>
            </w:r>
          </w:p>
        </w:tc>
        <w:tc>
          <w:tcPr>
            <w:tcW w:w="3236"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对原告李青妹因2023年5月9日机动车交通事故造成人身损害的护理期、误工期、营养期三期进行鉴定，委托编号（2024）委鉴316号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（2024）粤0105民诉前调18025号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原告:陈卓伦</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被告:高伟强,现代财产保险(中国)有限公司广东分公司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原告陈卓伦申请对其伤残等级进行鉴定，委托编号（2024）委鉴307号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（2024）粤0105民诉前调23971号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原告:钟天波</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被告:陈锦鸿、广州巴士集团有限公司、中国太平洋财产保险股份有限公司广州分公司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申请对钟天波的误工期进行鉴定，委托编号（2024）委鉴308号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（2024）粤0105民诉前调15163号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原告:陈浩龙</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被告:广州市海珠区城市管理机械化作业中心、朱锦良、中国太平洋财产保险股份有限公司广州市白云支公司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对原告因案涉事故造成的损伤进行伤残等级及护理期、误工期、营养期进行鉴定，委托编号（2024）委鉴313号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（2024）粤0105民初12591号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原告:王一菊</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被告:广州人和纺织贸易有限公司,林记良</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1、原告王一菊的伤残等级鉴定； 2、误工期、护理期、营养期三期鉴定。委托编号（2024）委鉴314号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（2024）粤0105民初12510号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原告:刘仁波</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被告:中国平安财产保险股份有限公司广东分公司,张智恒,黄喜灵</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对原告刘仁波的伤残情况给予级别鉴定，委托编号（2024）委鉴315号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（2024）粤0105民诉前调16977号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原告:梁光亮</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被告:梁沛立,亚太财产保险有限公司广东分公司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对梁光亮进行伤残等级鉴定，委托编号（2024）委鉴318号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（2024）粤0105民诉前调12457号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原告:彭书贵</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被告:李孔变、广州市江利运输有限公司、陈文辉、刘伟辉、抚州市临川亿安物流有限公司、茗洲汽车服务(河北)有限公司机动车</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对原告因案涉事故造成的伤残等级及护理依赖程度进行鉴定，委托编号（2024）委鉴312号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（2024）粤0105民诉前调15142号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原告:钟向连</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被告:黄银娇,中国平安财产保险股份有限公司广东分公司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原告申请对其所受人身损害的伤残等级、护理期、营养期、误工期进行鉴定，委托编号（2024）委鉴311号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（2024）粤0105民诉前调3186号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原告:李水苟、周松娣</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被告:广东省第二人民医院</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对被告对李神兴的诊疗行为是否存在过错，若存在医疗过错，则被告的过错行为与李神兴的损害后果之间是否存在因果关系及责任比例是多少进行鉴定，委托编号（2024）委鉴119号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（2024）粤0105民诉前调17108号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原告:吴佳泓</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被告:阳西总医院妇女儿童医院、阳江市妇幼保健院、南方医科大学珠江医院</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摇珠五家鉴定机构，依次委托对三被告对原告的医疗行为是否存在过错，如存在医疗过错，则被告的医疗过错与原告的损害后果是否存在因果关系，如存在因果关系，其参与度为多少，委托编号（2024）委鉴305号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（2024）粤0105民诉前调17108号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原告:吴佳泓</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被告:阳西总医院妇女儿童医院、阳江市妇幼保健院、南方医科大学珠江医院</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摇珠选定五家鉴定机构，依次委托对原告的伤残等级、护理依赖程度、护理依赖期限进行鉴定，委托编号（2024）委鉴304号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（2024）粤0105民诉前调10792号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原告:冯耀波</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被告:南方医科大学珠江医院</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因冯耀波与南方医科大学珠江医院医疗过错纠纷一案，申请对南方医科大学珠江医院因果关系、参与度大小进行鉴定，委托编号（2024）委鉴309号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1"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（2024）粤0105执9260号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申请人:中银消费金融有限公司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被申请人:钟艳君</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评估被执行人钟艳君持有的广州市花都区芙蓉大道北16号之六地下车库-1233号车位的市场价格，评估基准日为评估当日，委托编号（2024）委评149号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（2024）粤0105执2104号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申请人:吕术伟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被申请人:钟国文</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评估被执行人钟国文持有的荔湾区锦御三街4号地下3层B3407车位价值，评估基准日为评估当日，委托编号（2024）委评150号</w:t>
            </w:r>
          </w:p>
        </w:tc>
        <w:tc>
          <w:tcPr>
            <w:tcW w:w="4258" w:type="dxa"/>
            <w:noWrap w:val="0"/>
            <w:vAlign w:val="center"/>
          </w:tcPr>
          <w:p>
            <w:pPr>
              <w:jc w:val="center"/>
              <w:rPr>
                <w:rFonts w:hint="eastAsia" w:ascii="宋体" w:hAnsi="宋体" w:eastAsia="宋体" w:cs="宋体"/>
                <w:sz w:val="24"/>
                <w:szCs w:val="24"/>
                <w:lang w:val="en-US" w:eastAsia="zh-CN"/>
              </w:rPr>
            </w:pPr>
          </w:p>
        </w:tc>
      </w:tr>
    </w:tbl>
    <w:p>
      <w:pPr>
        <w:jc w:val="right"/>
        <w:rPr>
          <w:rFonts w:hint="default" w:ascii="仿宋_GB2312" w:eastAsia="仿宋_GB2312"/>
          <w:sz w:val="28"/>
          <w:szCs w:val="28"/>
          <w:lang w:val="en-US" w:eastAsia="zh-CN"/>
        </w:rP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24</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日</w:t>
      </w:r>
    </w:p>
    <w:p/>
    <w:p/>
    <w:p/>
    <w:p/>
    <w:p/>
    <w:sectPr>
      <w:pgSz w:w="16783" w:h="23757"/>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E712C"/>
    <w:rsid w:val="08245C83"/>
    <w:rsid w:val="0A5607B4"/>
    <w:rsid w:val="133F5897"/>
    <w:rsid w:val="264F3E8D"/>
    <w:rsid w:val="298A723D"/>
    <w:rsid w:val="2C28466B"/>
    <w:rsid w:val="2CF357C2"/>
    <w:rsid w:val="31D0421E"/>
    <w:rsid w:val="33BE712C"/>
    <w:rsid w:val="3483720F"/>
    <w:rsid w:val="39496784"/>
    <w:rsid w:val="3E632327"/>
    <w:rsid w:val="4A5A3AD1"/>
    <w:rsid w:val="4FF22D50"/>
    <w:rsid w:val="560F3EAB"/>
    <w:rsid w:val="58DA40D9"/>
    <w:rsid w:val="5A6A1D56"/>
    <w:rsid w:val="5A94180F"/>
    <w:rsid w:val="5E732AC3"/>
    <w:rsid w:val="686E7575"/>
    <w:rsid w:val="6DDB4024"/>
    <w:rsid w:val="73EE2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2024-11-07T08:39:00Z</dcterms:created>
  <dc:creator>Administrator</dc:creator>
  <cp:lastModifiedBy>Administrator</cp:lastModifiedBy>
  <dcterms:modified xsi:type="dcterms:W3CDTF">2024-11-08T03:51:06Z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