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16</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15</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16</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代表有广东智弘检测鉴定股份有限公司、广东合正建筑物鉴定检测有限公司、</w:t>
      </w:r>
      <w:r>
        <w:rPr>
          <w:rFonts w:hint="default" w:ascii="仿宋_GB2312" w:eastAsia="仿宋_GB2312"/>
          <w:sz w:val="28"/>
          <w:szCs w:val="28"/>
          <w:lang w:val="en-US" w:eastAsia="zh-CN"/>
        </w:rPr>
        <w:t>广州仲恒房屋安全鉴定有限公司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广东汇建检测鉴定有限公司</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（2024）粤0105民特183号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申请人:马京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被申请人:马英明</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对被申请人马英明有无民事行为能力进行鉴定，委托编号（2024）委鉴284号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（2024）粤0105民特182号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申请人:殷忠燕</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被申请人:丘惠泉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申请人殷忠燕申请对被申请人丘惠泉进行民事行为能力鉴定，委托编号（2024）委鉴274号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（2024）粤0105民诉前调12359号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原告:鲁成丽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被告:广州韶记贸易有限公司、百威（佛山）啤酒有限公司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对案涉啤酒瓶爆炸的原因力进行鉴定，委托编号（2024）委鉴278号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（2024）粤0105民诉前调15134号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原告:王文娟,俞胜宾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被告:叶又生,刘兰飞</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广州市海珠区彩枫街5号401房的客厅和两个卧室的天花、墙壁是否存在渗漏水的情况，若存在渗漏水的情况是否与广州市海珠区彩枫街5号501房有关，委托编号（2024）委鉴287号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（2024）粤0105民初7664号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原告:郑穗林、郑燕华、郑满心、郑满好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被告:广州市海珠区人民政府龙凤街道办事处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第三人：林丽红</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被告广州市海珠区人民政府龙凤街道办事处提供的《补充协议》中乙方代表“郑穗林”的签名进行笔迹鉴定，并以1993年1月8日签订的《划拨建设用地拆迁房屋产权补偿协议书》以及1993年3月30日签订的《划拨建设用地拆迁房屋临迁、回迁安置协议书》落款处郑穗林的签名作为比对样本，委托编号（2024）委鉴288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（2024）粤0105民诉前调15502号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原告:黄尚国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被告:胡波、广州公交集团广交出租汽车有限公司、中国人民财产保险股份有限公司广州市分公司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摇珠确定三家鉴定机构，依次委托对原告黄尚国因2024年6月6日的交通事故导致损伤的伤残等级进行鉴定</w:t>
            </w:r>
            <w:bookmarkStart w:id="0" w:name="_GoBack"/>
            <w:bookmarkEnd w:id="0"/>
            <w:r>
              <w:rPr>
                <w:rFonts w:hint="eastAsia" w:ascii="宋体" w:hAnsi="宋体" w:eastAsia="宋体" w:cs="宋体"/>
                <w:sz w:val="24"/>
                <w:szCs w:val="24"/>
                <w:lang w:val="en-US" w:eastAsia="zh-CN"/>
              </w:rPr>
              <w:t>。委托编号（2024）委鉴279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（2024）粤0105民初12190号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原告:曾沛健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被告:马青歌、肖蕾、中国平安财产保险股份有限公司广东分公司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对原告因案涉事故造成的损伤进行伤残等级、护理期及误工期鉴定，委托编号（2024）委鉴280号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（2024）粤0105民诉前调9571号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原告:郭杏娟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被告:付豪,中国人民财产保险股份有限公司开封市龙亭支公司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对原告因案涉事故造成的损伤进行伤残等级鉴定，委托编号（2024）委鉴281号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（2024）粤0105民诉前调18205号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原告:杜小蓉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被告:委二成、广州枫滴科技有限公司、中国人民财产保险股份有限公司广东省分公司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1、原告杜小蓉的伤残等级鉴定； 2、误工期、护理期、营养期三期鉴定。委托编号（2024）委鉴286号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（2024）粤0105民诉前调13172号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原告:李世昌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被告:广州红璞公寓管理有限公司、深圳红璞科技管理有限公司、深圳世联集房资产管理有限公司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原告申请对其所受人身损害的伤残等级、营养期、护理期、误工期进行鉴定，委托编号（2024）委鉴275号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（2024）粤0105民诉前调9846号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原告:别三英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被告:刘教亮</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原告申请对其所受人身损害的伤残等级、护理期、营养期进行鉴定，委托编号（2024）委鉴276号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（2024）粤0105民诉前调12359号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原告:鲁成丽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被告:广州韶记贸易有限公司、百威（佛山）啤酒有限公司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对原告鲁成丽于2023年5月1日因啤酒瓶爆炸导致损伤的伤残等级进行鉴定，委托编号（2024）委鉴277号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（2024）粤0105民诉前调17202号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原告:曾小妮、曾雪珍、曾壬锋、曾进云、曾丽娟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对被告的诊疗行为是否存在过错及其过错行为与损失后果之间的因果关系原因及大小进行鉴定，委托编号（2024）委鉴282号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（2024）粤0105民诉前调7811号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原告:夏岩</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被告:广州中医药大学第三附属医院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在未达手术指征的请况下对夏岩施行腰椎手术鉴定，</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申请对夏岩目前的损伤、疼痛与行腰椎手术的关联性鉴定。委托编号（2024）委鉴285号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（2024）粤0105民初7664号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原告:郑穗林、郑燕华、郑满心、郑满好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被告:广州市海珠区人民政府龙凤街道办事处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第三人：林丽红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对与广州市海珠区工业大道北58-62号相同地段的面积为3.3米×5米的露天停车位的1995年11月1日至2024年7月15日期间的市场租金标准进行评估，委托编号（2024）委评128号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（2024）粤0105民初14030号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原告:刘雪英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被告:陈趣兰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对广州市海珠区北山村龙吟大街12巷16号一楼房屋的市场租金价值进行评估，评估基准日为2024年1月1日，委托编号（2024）委评130号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（2024）粤0105执3133号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原告:中国农业银行股份有限公司广州城南支行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被告:郑凤娟,邹宇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对本案中拟进行拍卖的屋内物品（包括但不限于床、柜、各类小家电、冰箱、沙发、一条轮胎）进行清点及价格评估，评估基准日以上门日为准，委托编号（2024）委评129号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（2024）粤0105执3685号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申请人:杨俊佳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被申请人:梅健</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以评估日为评估基准日，评估被执行人梅健持有的广州忆轩生物工程有限公司的出资数额28万元的股权的市场价值，委托编号（2024）委评131号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（2024）粤0105民初12060号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原告:郑玉桂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被告:黄娇英、李莉霞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第三人：李氏良峰考陈巧蝉家族基金、李勇辉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湛江市赤坎区海丰路39号：蓝海丽舍1幢1201房及民大蓝海丽舍负一层360号车位、广州市海珠区万华北街9号903房及10号45号铺、佛山市南海区大沥镇黄岐广佛一路98号嘉洲广场二层2332号铺、广州市番禺区南村镇华南新城碧泉居13座1002房及半地下281号车位、及车辆粤A524F在2024年9月27日的市场价值进行评估，委托编号（2024）委评132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（2024）粤0105民初7664号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原告:郑穗林、郑燕华、郑满心、郑满好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被告:广州市海珠区人民政府龙凤街道办事处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第三人：林丽红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1.对与广州市海珠区工业大道北58-62号2层201房相同地段、相同楼层的面积为78.5923平方米的住宅性质的房屋的市场价值进行评估，评估基准日为评估机构上门查勘之日。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2.对与广州市海珠区工业大道北58-62号相同地段的面积为3.3米×5米的露天停车位的市场价值进行评估，评估基准日为评估机构上门查勘之日。委托编号（2024）委评133号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（2024）粤0105执7928号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申请人:广州国恒影音科技有限公司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被申请人:朱振峰,王靖</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以评估日为评估基准日，评估朱振峰名下位于佛山市顺德区陈村镇绀现村委会佛陈路88号美的花湾花园121号汽车位的市场价值，委托编号（2024）委评135号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（2024）粤0105执恢893号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申请方:肖楠</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被申请方:苏志雄、周淑玲</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评估汕头市龙湖区中信海滨花园地下室29-45幢车位35幢3527号车位，评估基准日以评估当日为准，委托编号（2024）委评136号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（2024）粤0105民诉前调17021号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原告:李国祥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被告:冯郁</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对广州市海珠区沥滘乡水基村八巷9号（宅基地使用证号：穗海字第001569号）宅基地及其地上房屋的市场价值进行评估，评估基准日为2024年1月17日。委托编号（2024）委评134号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（2024）粤0105民诉前调9677号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原告:刘立江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被告:湖南城院建设有限公司、广东华辉建设有限公司、广州市新洲经济发展有限公司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对广州琶洲项目圈地围墙工程及新洲项目部围墙工程（地点在广州市海珠区新洲渔村，名称为新港东路新洲小学琶洲东西两侧）进行工程造价评估，评估基准日为：2021年12月31日。委托编号（2024）委评137号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（2024）粤0105民初5058号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原告:广州市琶洲湾创意园区管理有限公司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被告:陈虹燕</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对涉案地址（以双方现场指认的地址为准）按照装修工程造价的方式鉴定装修损失。基准日为2024年5月28日，委托编号（2024）委评138号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4DAB"/>
    <w:rsid w:val="1223692E"/>
    <w:rsid w:val="15E04D96"/>
    <w:rsid w:val="193F4C4D"/>
    <w:rsid w:val="1F5A7ABC"/>
    <w:rsid w:val="21FD6576"/>
    <w:rsid w:val="22FD32BF"/>
    <w:rsid w:val="24F07DB0"/>
    <w:rsid w:val="26040C50"/>
    <w:rsid w:val="26A77630"/>
    <w:rsid w:val="2C4617B3"/>
    <w:rsid w:val="2DDA324B"/>
    <w:rsid w:val="2FDA0965"/>
    <w:rsid w:val="312A7212"/>
    <w:rsid w:val="347D0A8B"/>
    <w:rsid w:val="36C8564C"/>
    <w:rsid w:val="398A4AE8"/>
    <w:rsid w:val="3B306939"/>
    <w:rsid w:val="3B691410"/>
    <w:rsid w:val="3C545CF4"/>
    <w:rsid w:val="3C6C4BD2"/>
    <w:rsid w:val="3D155CFF"/>
    <w:rsid w:val="3DB4715A"/>
    <w:rsid w:val="401F2476"/>
    <w:rsid w:val="41F72CF4"/>
    <w:rsid w:val="42400317"/>
    <w:rsid w:val="42D8085D"/>
    <w:rsid w:val="43882D8A"/>
    <w:rsid w:val="483E1A80"/>
    <w:rsid w:val="4A2A3D09"/>
    <w:rsid w:val="4CD04DAB"/>
    <w:rsid w:val="4DF258AE"/>
    <w:rsid w:val="4EC04112"/>
    <w:rsid w:val="4EC91E45"/>
    <w:rsid w:val="505F1170"/>
    <w:rsid w:val="513D5396"/>
    <w:rsid w:val="59A11A9C"/>
    <w:rsid w:val="59A163A4"/>
    <w:rsid w:val="5D327553"/>
    <w:rsid w:val="5EF407E7"/>
    <w:rsid w:val="6CA20D8C"/>
    <w:rsid w:val="70AD222C"/>
    <w:rsid w:val="72092E73"/>
    <w:rsid w:val="74296FCC"/>
    <w:rsid w:val="76495AAC"/>
    <w:rsid w:val="7A5D6298"/>
    <w:rsid w:val="7B60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2024-10-12T00:53:00Z</dcterms:created>
  <dc:creator>Administrator</dc:creator>
  <cp:lastModifiedBy>Administrator</cp:lastModifiedBy>
  <dcterms:modified xsi:type="dcterms:W3CDTF">2024-10-12T02:36:24Z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