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15</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24</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15</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代表有大华会计师事务所（特殊普通合伙）广州分所、广东中穗会计师事务所有限公司、</w:t>
      </w:r>
      <w:r>
        <w:rPr>
          <w:rFonts w:hint="default" w:ascii="仿宋_GB2312" w:eastAsia="仿宋_GB2312"/>
          <w:sz w:val="28"/>
          <w:szCs w:val="28"/>
          <w:lang w:val="en-US" w:eastAsia="zh-CN"/>
        </w:rPr>
        <w:t>广东建准检测技术有限公司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广东稳固检测鉴定有限公司</w:t>
      </w:r>
      <w:r>
        <w:rPr>
          <w:rFonts w:hint="eastAsia" w:ascii="仿宋_GB2312" w:eastAsia="仿宋_GB2312"/>
          <w:sz w:val="28"/>
          <w:szCs w:val="28"/>
          <w:lang w:val="en-US" w:eastAsia="zh-CN"/>
        </w:rPr>
        <w:t>。</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trPr>
        <w:tc>
          <w:tcPr>
            <w:tcW w:w="306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（2024）粤0105民初11735号</w:t>
            </w:r>
          </w:p>
        </w:tc>
        <w:tc>
          <w:tcPr>
            <w:tcW w:w="3325"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原告:郭凤仪、郭凤霞、黄秀容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被告:郭寿宇</w:t>
            </w:r>
          </w:p>
        </w:tc>
        <w:tc>
          <w:tcPr>
            <w:tcW w:w="3236"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原被告双方协商一致选定中山大学法医鉴定中心对黄秀容的民事行为能力进行鉴定，委托编号（2024）委鉴252号</w:t>
            </w:r>
          </w:p>
        </w:tc>
        <w:tc>
          <w:tcPr>
            <w:tcW w:w="425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原被告双方协商一致选定中山大学法医鉴定中心承接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（2024）粤0105民特169号</w:t>
            </w:r>
          </w:p>
        </w:tc>
        <w:tc>
          <w:tcPr>
            <w:tcW w:w="3325"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申请人:李金媚</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被申请人:蔡晨君</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摇珠确定三家鉴定机构依次委托对蔡晨君的民事行为能力进行鉴定，委托编号（2024）委鉴253号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（2024）粤0105民初11831号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原告:何铁城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被告:梁桃</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申请对《不可撤销借款合作承诺书》中1、何铁城的签名进行笔迹鉴定； 2、申请对该份材料内容书写文字内容是否何铁城所写进行笔迹鉴定；3、申请对该份材料书写内容及何铁城签名的生成时间是否为2010年10月24日；4、申请对该份材料书写文字内容与何铁城签名是否相同、相近时间生成，哪个笔迹在先生成，委托编号（2024）委鉴270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（2024）粤0105民初6068号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原告:胡细晶</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被告:方泽森</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对2022年11月10日的《借款合同》（40万元）上的“方泽森”的签名进行笔迹鉴定，委托编号（2024）委鉴263号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（2024）粤0105民初6488号、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（2024）粤0105民诉前调17113-17121号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原告:梁志锦</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被告:王怡；</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第三人：广州锦安实业有限公司</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案涉十份《收据》落款处的“梁志锦”是否为梁志锦本人书写进行司法鉴定；对案涉十份《收据》落款处的“广州锦安实业有限公司”印文是否为广州锦安实业有限公司的真实印章进行司法鉴定，委托编号（2024）委鉴264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（2024）粤0105民初12710号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原告:汤娟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被告:广州融辰置业有限公司,金融街物业股份有限公司广州分公司,昆山怡口净水系统有限公司,广州市纳旺志环保设备有限公司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对“广州市海珠区融御街29号3201房”的漏水原因进行鉴定，委托编号（2024）委鉴265号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（2024）粤0105民诉前调4087号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原告:邓凤仙,梁素媚,梁雅妍,梁颖娜</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被告:杨金成,谭桂凤,杨翠妍</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对“广州市海珠区同庆路同庆四街4-1号楼4楼”房屋的客厅、卧室的天花板渗漏水的原因进行司法鉴定，委托编号（2024）委鉴266号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（2024）粤0105民诉前调9890号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原告:陈一辰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被告:梁秀杰,谭杰</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对于广州市海珠区洪德路185号1808房的玄关天花、二楼卧室墙角渗水来源进行鉴定，分析渗水与1806房是否存在因果关系，委托编号（2024）委鉴271号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（2024）粤0105民诉前调12570号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原告:严泽英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被告:张晓东,中国人民财产保险股份有限公司广州市分公司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对原告因案涉事故造成的损伤进行伤残等级鉴定，委托编号（2024）委鉴254号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（2024）粤0105民初9360号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原告:谢箫莹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被告:郑宜波，广州百合雕塑设计有限公司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对原告因案涉事故造成的损伤进行伤残等级、误工期、护理期、营养期进行鉴定，委托编号（2024）委鉴255号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（2024）粤0105民诉前调16808号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原告:王战峰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被告:刘知花</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对原告因案涉事故造成的损伤进行伤残等级、误工期、护理期、营养期进行鉴定，委托编号（2024）委鉴256号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（2024）粤0105民诉前调13686号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原告:谢斌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被告:广东宏德科技物业有限公司、中国人民解放军南部战区空军医院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摇珠确定三家鉴定机构，依次委托对原告谢斌因2021年11月1日的损伤导致的伤残等级、护理期、误工期、营养期进行鉴定，委托编号（2024）委鉴258号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（2024）粤0105民初3665号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原告:李泽平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被告:何志杨,广西自贸区天安信达科技有限公司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对原告因本次事故导致损害的后续治疗费进行鉴定，委托编号（2024）委鉴259号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（2024）粤0105民初5209号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原告:马瞩</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被告:张运有,广东电网有限责任公司广州海珠供电局</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对原告因本次事故造成损害是否构成伤残及伤残等级进行重新鉴定，委托编号（2024）委鉴260号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（2024）粤0105民诉前调15135号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原告:周呈呈</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被告:广东文弘建设工程有限公司、李涛、刘成</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对原告周呈呈于本次事故受伤的伤残等级进行鉴定，委托编号（2024）委鉴268号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（2024）粤0105民诉前调7633号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原告:郭奴恒</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被告:李毅</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对原告郭奴恒伤残等级及营养期、护理期进行司法鉴定，委托编号（2024）委鉴269号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（2024）粤0105民诉前调9847号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原告:何贞兰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被告:新合作邻里商业管理有限公司、新合作邻里商业管理有限公司广州分公司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原告申请对其所受人身损害的伤残等级、营养期、护理期进行鉴定，委托编号（2024）委鉴257号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（2024）粤0105民初5785号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原告:黄晓</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被告:广州市联捷通快运有限公司海珠分公司,许理军,中国平安财产保险股份有限公司广东分公司</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广州市联淏通货运代理有限公司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原告申请对其所受人身损害的伤残等级进行鉴定</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委托编号（2024）委鉴261号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（2024）粤0105刑初37号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申请人:郭丹丽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被申请人:李毅杰</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1.对被害人郭丹丽的损伤程度进行鉴定；2.对被害人郭丹丽的损伤与被告人李毅杰的伤害行为是否有因果关系，委托编号（2024）委鉴262号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（2024）粤0105民诉前调16526号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原告:何少姘</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被告:张忠博,张竞</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对原告何少姘于本次事故受伤的伤残等级进行鉴定。委托编号（2024）委鉴272号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（2024）粤0105民诉前调16527号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原告:郭亚和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被告:胡中富、中国平安财产保险股份有限公司广东分公司</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对原告郭亚和于本次事故受伤的伤残等级、误工期、护理期、营养期进行鉴定</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委托编号（2024）委鉴27</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（2024）粤0105民初4727号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原告:敖海英,梁健辉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被告:崔惠颜</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对原告敖海英、梁健辉与被告崔惠颜自合伙之日起至2012年9月15日合伙期间的财务状况进行审计，委托编号（2024）委鉴267号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（2024）粤0105民初3974号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原告:广东新汇展商贸有限公司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被告:广州市环博展览有限公司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位于琶洲国际采购中心第A-1幢4层426号房（测绘地址：海珠区新港东路新港东路以北琶洲塔西侧426房）于2022年1月10日的周边同地段同类型物业的市场价格进行评估；2、对位于琶洲国际采购中心第A-1幢4层426号房（测绘地址：海珠区新港东路新港东路以北琶洲塔西侧426房）于2024年5月31日的周边同地段同类型物业的市场价格进行评估，委托编号（2024）委评121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（2023）粤0105民初21531号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原告:张海波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被告:谢婉仪,区莲女，广州黄师傅国元堂健康管理有限公司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以2023年8月10日作为司法鉴定基准日，对“广州市海珠区南田路雅惠街1号108-110铺位”的装饰装修残值进行司法鉴定，委托编号（2024）委评125号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（2024）粤0105民诉前调14592号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原告:广州市昕城文化传播有限责任公司、广州市海珠区鑫之城教育培训中心有限公司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被告:广州小洲艺元素实业投资有限公司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对广州市海珠区瀛洲路47号之一的编号D501、D506、D507房屋和广州市海珠区瀛洲南路25号房屋的装饰装修及设施设备的现值进行评估，评估时间节点为2024年3月15日，委托编号（2024）委评126号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（2024）粤0105民初11884号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原告:易思宁</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被告:黄倩韵</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对案涉车辆奥迪牌粤A899ZQ在2024年8月29日的市场价值进行评估，委托编号（2024）委评122号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（2024）粤0105执恢1161号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申请人:孟宪娟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被申请人:吴乐洪</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委托评估被执行人吴乐洪名下的位于海宁市海洲街道钱江西路238号广隆财富中心6幢的1/10产权份额的市场价值（以评估日为评估基准日），委托编号（2024）委评123号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（2024）粤0105民初12759号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原告:李小红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被告:张海静</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对位于广东省广州市海珠区明湖街5号2301房的房屋价值进行评估，评估基准日为评估机构上门评估那一日，委托编号（2024）委评124号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（2024）粤0105执2345号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申请方:中国农业银行股份有限公司广州海珠支行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被申请方:陈鸿锋</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委托对被执行人陈鸿锋名下所有的位于广州市南沙区大岗镇振兴路二湾大街15巷2号的市场价值进</w:t>
            </w:r>
            <w:bookmarkStart w:id="0" w:name="_GoBack"/>
            <w:bookmarkEnd w:id="0"/>
            <w:r>
              <w:rPr>
                <w:rFonts w:hint="eastAsia" w:ascii="宋体" w:hAnsi="宋体" w:eastAsia="宋体" w:cs="宋体"/>
                <w:sz w:val="24"/>
                <w:szCs w:val="24"/>
                <w:lang w:val="en-US" w:eastAsia="zh-CN"/>
              </w:rPr>
              <w:t>行评估，以评估日为基准日。委托编号（2024）委评127号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20</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80E61"/>
    <w:rsid w:val="027F5D21"/>
    <w:rsid w:val="03181B27"/>
    <w:rsid w:val="04306B75"/>
    <w:rsid w:val="087B7C45"/>
    <w:rsid w:val="0A0C2CD6"/>
    <w:rsid w:val="0E9A2963"/>
    <w:rsid w:val="13B42B5B"/>
    <w:rsid w:val="164D339E"/>
    <w:rsid w:val="183832A8"/>
    <w:rsid w:val="19703FEC"/>
    <w:rsid w:val="1AF976F7"/>
    <w:rsid w:val="1BEE2844"/>
    <w:rsid w:val="1C5C1A8B"/>
    <w:rsid w:val="1FAC136E"/>
    <w:rsid w:val="207B3A59"/>
    <w:rsid w:val="21F040DB"/>
    <w:rsid w:val="22DD1671"/>
    <w:rsid w:val="231940F2"/>
    <w:rsid w:val="23395DB6"/>
    <w:rsid w:val="24EA6999"/>
    <w:rsid w:val="256A042B"/>
    <w:rsid w:val="25AF37A5"/>
    <w:rsid w:val="29F374CD"/>
    <w:rsid w:val="2CF6423D"/>
    <w:rsid w:val="302B5D6D"/>
    <w:rsid w:val="33516E03"/>
    <w:rsid w:val="399644A4"/>
    <w:rsid w:val="3B7D5664"/>
    <w:rsid w:val="3E3F5DE5"/>
    <w:rsid w:val="3EF7426C"/>
    <w:rsid w:val="414C5F29"/>
    <w:rsid w:val="43D90A32"/>
    <w:rsid w:val="44D861EA"/>
    <w:rsid w:val="46CC5CDE"/>
    <w:rsid w:val="4F281F7F"/>
    <w:rsid w:val="4F8F56E6"/>
    <w:rsid w:val="50E10354"/>
    <w:rsid w:val="53EE0935"/>
    <w:rsid w:val="546F587B"/>
    <w:rsid w:val="58121F7F"/>
    <w:rsid w:val="59B83812"/>
    <w:rsid w:val="5C25474F"/>
    <w:rsid w:val="5C903D60"/>
    <w:rsid w:val="5D846A83"/>
    <w:rsid w:val="5EF478F0"/>
    <w:rsid w:val="61C75B1A"/>
    <w:rsid w:val="63CD4F50"/>
    <w:rsid w:val="649C6D72"/>
    <w:rsid w:val="64EA4402"/>
    <w:rsid w:val="67580E61"/>
    <w:rsid w:val="6AAF03F4"/>
    <w:rsid w:val="6B1D66A9"/>
    <w:rsid w:val="6B2302F5"/>
    <w:rsid w:val="6B901A32"/>
    <w:rsid w:val="6CBD4E2A"/>
    <w:rsid w:val="6D165DE1"/>
    <w:rsid w:val="700C7B8D"/>
    <w:rsid w:val="7132574F"/>
    <w:rsid w:val="76C458A3"/>
    <w:rsid w:val="782C70F1"/>
    <w:rsid w:val="78C0761E"/>
    <w:rsid w:val="7B810476"/>
    <w:rsid w:val="7BB8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2024-09-12T09:20:00Z</dcterms:created>
  <dc:creator>Administrator</dc:creator>
  <cp:lastModifiedBy>Administrator</cp:lastModifiedBy>
  <dcterms:modified xsi:type="dcterms:W3CDTF">2024-09-20T01:03:48Z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