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年第</w:t>
      </w:r>
      <w:r>
        <w:rPr>
          <w:rFonts w:hint="eastAsia" w:ascii="仿宋_GB2312" w:eastAsia="仿宋_GB2312"/>
          <w:b/>
          <w:sz w:val="32"/>
          <w:szCs w:val="32"/>
          <w:lang w:val="en-US" w:eastAsia="zh-CN"/>
        </w:rPr>
        <w:t>12</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12</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代表有广州中联会计师事务所有限公司、广东诚安信会计师事务所（特殊普通合伙）、</w:t>
      </w:r>
      <w:r>
        <w:rPr>
          <w:rFonts w:hint="default" w:ascii="仿宋_GB2312" w:eastAsia="仿宋_GB2312"/>
          <w:sz w:val="28"/>
          <w:szCs w:val="28"/>
          <w:lang w:val="en-US" w:eastAsia="zh-CN"/>
        </w:rPr>
        <w:t>安礼华粤（广东）会计师事务所（特殊普通合伙）</w:t>
      </w:r>
      <w:r>
        <w:rPr>
          <w:rFonts w:hint="eastAsia" w:ascii="仿宋_GB2312" w:eastAsia="仿宋_GB2312"/>
          <w:sz w:val="28"/>
          <w:szCs w:val="28"/>
          <w:lang w:val="en-US" w:eastAsia="zh-CN"/>
        </w:rPr>
        <w:t>、</w:t>
      </w:r>
      <w:r>
        <w:rPr>
          <w:rFonts w:hint="default" w:ascii="仿宋_GB2312" w:eastAsia="仿宋_GB2312"/>
          <w:sz w:val="28"/>
          <w:szCs w:val="28"/>
          <w:lang w:val="en-US" w:eastAsia="zh-CN"/>
        </w:rPr>
        <w:t>中天运会计师事务所（特殊普通合伙）广东分所</w:t>
      </w:r>
      <w:r>
        <w:rPr>
          <w:rFonts w:hint="eastAsia" w:ascii="仿宋_GB2312" w:eastAsia="仿宋_GB2312"/>
          <w:sz w:val="28"/>
          <w:szCs w:val="28"/>
          <w:lang w:val="en-US" w:eastAsia="zh-CN"/>
        </w:rPr>
        <w:t>。</w:t>
      </w:r>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325"/>
        <w:gridCol w:w="3236"/>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1197"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1165"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1534"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03"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（2024）粤0105民特124号</w:t>
            </w:r>
          </w:p>
        </w:tc>
        <w:tc>
          <w:tcPr>
            <w:tcW w:w="1197"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申请人:魏顺华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被申请人:苏少</w:t>
            </w:r>
            <w:bookmarkStart w:id="0" w:name="_GoBack"/>
            <w:bookmarkEnd w:id="0"/>
            <w:r>
              <w:rPr>
                <w:rFonts w:hint="eastAsia" w:ascii="宋体" w:hAnsi="宋体" w:eastAsia="宋体" w:cs="宋体"/>
                <w:sz w:val="24"/>
                <w:szCs w:val="24"/>
                <w:lang w:val="en-US" w:eastAsia="zh-CN"/>
              </w:rPr>
              <w:t>颜</w:t>
            </w:r>
          </w:p>
        </w:tc>
        <w:tc>
          <w:tcPr>
            <w:tcW w:w="1165"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依法摇珠确定三家鉴定机构对苏少颜进行民事行为能力鉴定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）委鉴208</w:t>
            </w:r>
            <w:r>
              <w:rPr>
                <w:rFonts w:hint="eastAsia" w:ascii="宋体" w:hAnsi="宋体" w:eastAsia="宋体" w:cs="宋体"/>
                <w:sz w:val="24"/>
                <w:szCs w:val="24"/>
                <w:lang w:val="en-US" w:eastAsia="zh-CN"/>
              </w:rPr>
              <w:t>号</w:t>
            </w:r>
          </w:p>
        </w:tc>
        <w:tc>
          <w:tcPr>
            <w:tcW w:w="1534"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（2024）粤0105民诉前调5331号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原告:何马莲,何志标,何柳芬</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被告:陈绮文</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1.对广州市海珠区泰沙路凤阳街37号201房的卫生间、厨房及卧室区域（已在平面图中标注渗漏点①②③④）渗漏水原因进行鉴定，并分析渗漏水与301房是否存在因果关系；</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2.对201房的天花、墙体等受损处修复费用进行评估鉴定，如无法评估修复费用，则出具对受损部位的修复方案。</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）委鉴211</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（2024）粤0105民诉前调7945号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原告:彭朋华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被告:黄衍昇、广州市广裕租赁有限公司、中华联合财产保险股份有限公司广州中心支公司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摇珠确定三家鉴定机构，依次委托对原告因2023年2月26日交通事故所导致损伤的伤残等级、护理期、误工期进行鉴定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）委鉴200</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（2024）粤0105民诉前调8141号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原告:陈梓轩</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被告:薛海江,中国太平洋财产保险股份有限公司广州市天河支公司,中国人民财产保险股份有限公司广州市分公司,广东协成汽车出租有限公司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对原告陈梓轩于本次交通事故受伤进行伤残等级鉴定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）委鉴201</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（2024）粤0105民诉前调7860号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原告:蔡桂林</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被告:中国人民财产保险股份有限公司肇庆市分公司、姚金宝、众诚汽车保险股份有限公司广东分公司、周进新</w:t>
            </w:r>
          </w:p>
        </w:tc>
        <w:tc>
          <w:tcPr>
            <w:tcW w:w="1165"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对原告蔡桂林于2023年9月25日交通事故受伤进行伤残等级、护理期鉴定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）委鉴202</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（2024）粤0105民诉前调9578号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原告:杨春苗</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被告:赖卫文、中国邮政速递物流股份有限公司、广东民企人力资源开发服务中心有限公司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1.对原告杨春苗于本次交通事故受伤进行伤残等级、护理期、营养期、护理依赖程度进行鉴定；2.对原告杨春苗于本次交通事故受伤进行护理年限的鉴定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）委鉴203</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（2024）粤0105民诉前调8121号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原告:陈志银</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被告:韦衍杰、陈二妹、中国人民财产保险股份有限公司清远市分公司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对原告陈志银于本次交通事故受伤进行伤残等级、护理期、误工期鉴定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）委鉴204</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（2024）粤0105民诉前调7965号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原告:袁爱玲</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被告:梁家全、黎锦燕</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对原告袁爱玲因案涉事故造成身体损伤的伤残等级及误工期、护理期、营养期进行鉴定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）委鉴205</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（2024）粤0105民诉前调5376号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原告:麦梓镁</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被告:黄永生,中国人民财产保险股份有限公司广州市分公司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对原告麦梓镁因案涉事故造成身体损伤的伤残等级、误工期、护理期及营养期进行鉴定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）委鉴206</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（2024）粤0105民初5279号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原告:王晓菊</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被告:郑龙,广州广雨壹汽车科技有限公司,中国平安保险（集团）股份有限公司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对原告因案涉事故造成的损伤进行伤残等级、误工期、护理期、营养期进行鉴定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）委鉴207</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（2024）粤0105民初5720号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原告:詹映欣</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被告:王先虎,河南橡皮筋网络科技有限公司,中国平安财产保险股份有限公司广东分公司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对原告詹映欣因2023年12月8日交通事故导致损伤的伤残等级、护理期、营养期进行鉴定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）委鉴198</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（2024）粤0105民初4918号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原告:钟彩珍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被告:广州慧拓自动化控制设备有限公司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对原告在被告处工作而确诊的职业性三氯乙烯药疹样皮炎、糖尿病不伴有并发症（特殊类型、三氯乙烯相关）、糖尿病（特殊类型）是否构成伤残等级以及伤残等级进行鉴定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）委鉴199</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（2024）粤0105民诉前调4115号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原告:张伟春</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被告:中国人民财产保险股份有限公司广州市分公司,黄越中</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原告申请对其所受人身损害的伤残等级进行鉴定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）委鉴210</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（2024）粤0105民诉前调6299号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原告:黄方强,黄锦如,黄锦凤,杨玲娇,陈少荣</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被告:广州医科大学附属第二医院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对被告对患者黄妃广的诊疗行为是否存在过错？若存在过错，被告的诊疗过错行为与黄妃广死亡之间是否存在因果关系以及原因力的大小进行鉴定，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）委鉴197</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（2024）粤0105民诉前调7261号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原告:齐富霞</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被告:中国人民解放军陆军第七十四集团军医院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齐富霞损害后果与被告医疗行为是否存在因果关系及参与度大小，</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）委鉴209</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（2024）粤0105执1786号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申请人:谭鹏</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被申请人:广州兴懋纺织科技有限公司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对被执行人广州兴懋纺织科技有限公司所持有的布匹（布匹总长为1555米、布匹编号为9605，共14匹）的市场价值进行评估，以评估日为准（基准日）。以上布匹均存放于中山市大涌镇大兴路一街41号伟业二楼仓库</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）委评97</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股权评估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（2023）粤0105执10400号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申请人:北京中青新纪元科贸有限公司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被申请人:广东天玑总部经济企业管理集团有限公司,广东省天玑投控集团有限公司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以评估日为评估基准日，评估中安天玑（北京）产业控股有限公司60%股权的市场价值、评估新余市中新产业集团有限公司40%股权的市场价值</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）委评98</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03"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（2023）粤0105执恢1212号</w:t>
            </w:r>
          </w:p>
          <w:p>
            <w:pPr>
              <w:jc w:val="center"/>
              <w:rPr>
                <w:rFonts w:hint="eastAsia" w:ascii="宋体" w:hAnsi="宋体" w:eastAsia="宋体" w:cs="宋体"/>
                <w:sz w:val="24"/>
                <w:szCs w:val="24"/>
                <w:lang w:val="en-US" w:eastAsia="zh-CN"/>
              </w:rPr>
            </w:pP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申请人:兴业银行股份有限公司广州海珠支行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被申请人:杨国扬,邹爱艮,莆田市万佛轩玉器有限公司,四会市东城区万佛轩玉器店,郑志新</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对被执行人杨国扬所有的广东省四会市东城街道四会大道中富庭苑一座17号（四楼）的房屋产权及位于四会市东城街道四会大道中富庭苑一座17号土地产权的市场价值进行评估，评估基准日为评估当日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）委评90</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3"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（2023）粤0105执恢1212号</w:t>
            </w:r>
          </w:p>
          <w:p>
            <w:pPr>
              <w:jc w:val="center"/>
              <w:rPr>
                <w:rFonts w:hint="eastAsia" w:ascii="宋体" w:hAnsi="宋体" w:eastAsia="宋体" w:cs="宋体"/>
                <w:sz w:val="24"/>
                <w:szCs w:val="24"/>
                <w:lang w:val="en-US" w:eastAsia="zh-CN"/>
              </w:rPr>
            </w:pP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申请人:兴业银行股份有限公司广州海珠支行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被申请人:杨国扬,邹爱艮,莆田市万佛轩玉器有限公司,四会市东城区万佛轩玉器店,郑志新</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对被执行人杨国扬所有的广东省四会市东城街道四会大道中富庭苑一座18号（四楼）的房屋产权及位于四会市东城街道四会大道中富庭苑一座18号土地产权的市场价值进行评估，评估基准日为评估当日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）委评91</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3"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（2023）粤0105执恢1212号</w:t>
            </w:r>
          </w:p>
          <w:p>
            <w:pPr>
              <w:jc w:val="center"/>
              <w:rPr>
                <w:rFonts w:hint="eastAsia" w:ascii="宋体" w:hAnsi="宋体" w:eastAsia="宋体" w:cs="宋体"/>
                <w:sz w:val="24"/>
                <w:szCs w:val="24"/>
                <w:lang w:val="en-US" w:eastAsia="zh-CN"/>
              </w:rPr>
            </w:pP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申请人:兴业银行股份有限公司广州海珠支行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被申请人:杨国扬,邹爱艮,莆田市万佛轩玉器有限公司,四会市东城区万佛轩玉器店,郑志新</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对被执行人杨国扬所有的广东省四会市东城街道四会大道中富庭苑一座19号（四楼）的房屋产权及位于四会市东城街道四会大道中富庭苑一座19号土地产权的市场价值进行评估，评估基准日为评估当日，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）委评92</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3"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（2023）粤0105执恢1212号</w:t>
            </w:r>
          </w:p>
          <w:p>
            <w:pPr>
              <w:jc w:val="center"/>
              <w:rPr>
                <w:rFonts w:hint="eastAsia" w:ascii="宋体" w:hAnsi="宋体" w:eastAsia="宋体" w:cs="宋体"/>
                <w:sz w:val="24"/>
                <w:szCs w:val="24"/>
                <w:lang w:val="en-US" w:eastAsia="zh-CN"/>
              </w:rPr>
            </w:pP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申请人:兴业银行股份有限公司广州海珠支行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被申请人:杨国扬,邹爱艮,莆田市万佛轩玉器有限公司,四会市东城区万佛轩玉器店,郑志新</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对被执行人杨国扬所有的广东省四会市东城街道四会大道中富庭苑一座20号（四楼）的房屋产权及位于四会市东城街道四会大道中富庭苑一座20号土地产权的市场价值进行评估，评估基准日为评估当日，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）委评93</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3"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（2023）粤0105执恢1212号</w:t>
            </w:r>
          </w:p>
          <w:p>
            <w:pPr>
              <w:jc w:val="center"/>
              <w:rPr>
                <w:rFonts w:hint="eastAsia" w:ascii="宋体" w:hAnsi="宋体" w:eastAsia="宋体" w:cs="宋体"/>
                <w:sz w:val="24"/>
                <w:szCs w:val="24"/>
                <w:lang w:val="en-US" w:eastAsia="zh-CN"/>
              </w:rPr>
            </w:pP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申请人:兴业银行股份有限公司广州海珠支行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被申请人:杨国扬,邹爱艮,莆田市万佛轩玉器有限公司,四会市东城区万佛轩玉器店,郑志新</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对被执行人邹爱艮所有的广东省四会市东城街道广场北路茗雅荟七座38号（九楼）的房屋产权及位于东城街道广场北路茗雅荟七座38号土地产权的市场价值进行评估，评估基准日为评估当日，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）委评94</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3"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（2023）粤0105执恢1212号</w:t>
            </w:r>
          </w:p>
          <w:p>
            <w:pPr>
              <w:jc w:val="center"/>
              <w:rPr>
                <w:rFonts w:hint="eastAsia" w:ascii="宋体" w:hAnsi="宋体" w:eastAsia="宋体" w:cs="宋体"/>
                <w:sz w:val="24"/>
                <w:szCs w:val="24"/>
                <w:lang w:val="en-US" w:eastAsia="zh-CN"/>
              </w:rPr>
            </w:pP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申请人:兴业银行股份有限公司广州海珠支行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被申请人:杨国扬,邹爱艮,莆田市万佛轩玉器有限公司,四会市东城区万佛轩玉器店,郑志新</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邹爱艮所有的广东省四会市东城街道广场北路茗雅荟负一层汽车位248号（负一层）的房屋产权及位于四会市东城街道广场北路茗雅荟负一层汽车位248号土地产权的市场价值进行评估，评估基准日为评估当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）委评95</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3"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（2023）粤0105执恢1212号</w:t>
            </w:r>
          </w:p>
          <w:p>
            <w:pPr>
              <w:jc w:val="center"/>
              <w:rPr>
                <w:rFonts w:hint="eastAsia" w:ascii="宋体" w:hAnsi="宋体" w:eastAsia="宋体" w:cs="宋体"/>
                <w:sz w:val="24"/>
                <w:szCs w:val="24"/>
                <w:lang w:val="en-US" w:eastAsia="zh-CN"/>
              </w:rPr>
            </w:pP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申请人:兴业银行股份有限公司广州海珠支行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被申请人:杨国扬,邹爱艮,莆田市万佛轩玉器有限公司,四会市东城区万佛轩玉器店,郑志新</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邹爱艮所有的广东省四会市东城街道广场北路茗雅荟负一层汽车位261号（负一层）的房屋产权及位于四会市东城街道广场北路茗雅荟负一层汽车位261号土地产权的市场价值进行评估。评估基准日为评估当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）委评96</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（2024）粤0105民初6070号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原告:陈文姬</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被告:梁鸿坚</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以2024年4月29日为评估基准日，对梁鸿坚名下的位于广州市海珠区同福东路堑口东51号二、三层的房屋价值进行评估鉴定，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）委评99</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（2024）粤0105民初6070号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原告:陈文姬</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被告:梁鸿坚</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以2024年4月29日为评估基准日，对梁鸿坚名下的位于广州市白云区广花路合益一街13号706房的房屋价值进行评估鉴定，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）委评100</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（2024）粤0105执2284号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申请方:中银消费金融有限公司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被申请方:黄盈婷,江泳帆</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对广州市番禺区大石街朝阳东路425号银湾大街3期人防地下车室098号车位进行评估（评估基准日：以评估日为基准日），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）委评101</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（2024）粤0105民初1016号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原告:陈必芳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被告:姚滂</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对位于广州市海珠区中盛路89号地下2层B2100车位于2024年5月27日的市场价值进行评估，</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）委评102</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（2023）粤0105民初21452号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原告:中煤江南建设发展集团有限公司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被告:中铁建工集团（广州海珠）有限公司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以案涉《沥滘城中村改造项目支护及桩基工程建设工程专业分包合同》及工程地勘报告等作为鉴定依据，依法对涉案工程的争议的项目造价（含入岩量）进行鉴定（评估基准日：2023年2月19日）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）委评103</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（2024）粤0105民初9608号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原告:广州市鑫居装饰工程有限公司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被告:李晓盛</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对案涉广州市海珠区时代廊桥8栋304房装修项目工程造价进行鉴定，评估基准日为2023年10月18日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）委评104</w:t>
            </w:r>
            <w:r>
              <w:rPr>
                <w:rFonts w:hint="eastAsia" w:ascii="宋体" w:hAnsi="宋体" w:eastAsia="宋体" w:cs="宋体"/>
                <w:sz w:val="24"/>
                <w:szCs w:val="24"/>
                <w:lang w:val="en-US" w:eastAsia="zh-CN"/>
              </w:rPr>
              <w:t>号</w:t>
            </w:r>
          </w:p>
        </w:tc>
        <w:tc>
          <w:tcPr>
            <w:tcW w:w="1534" w:type="pct"/>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26</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82F69"/>
    <w:rsid w:val="0281180B"/>
    <w:rsid w:val="08176E4F"/>
    <w:rsid w:val="0A4C5A14"/>
    <w:rsid w:val="20E92628"/>
    <w:rsid w:val="3DB82F69"/>
    <w:rsid w:val="53761B4D"/>
    <w:rsid w:val="5B5C3349"/>
    <w:rsid w:val="7BB0582B"/>
    <w:rsid w:val="7D55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2024-07-24T09:17:00Z</dcterms:created>
  <dc:creator>胡翠金</dc:creator>
  <cp:lastModifiedBy>胡翠金</cp:lastModifiedBy>
  <dcterms:modified xsi:type="dcterms:W3CDTF">2024-07-24T17:56:06Z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