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9</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9</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代表有广州穗监工程造价咨询有限公司、广东宏建工程造价咨询有限公司、</w:t>
      </w:r>
      <w:r>
        <w:rPr>
          <w:rFonts w:hint="default" w:ascii="仿宋_GB2312" w:eastAsia="仿宋_GB2312"/>
          <w:sz w:val="28"/>
          <w:szCs w:val="28"/>
          <w:lang w:val="en-US" w:eastAsia="zh-CN"/>
        </w:rPr>
        <w:t>广州市百业建设顾问有限公司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广东粤能工程管理有限公司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广东千福田工程造价咨询有限公司</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3247"/>
        <w:gridCol w:w="3955"/>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69"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424"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41"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6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（2024）粤0105民初29号</w:t>
            </w:r>
          </w:p>
        </w:tc>
        <w:tc>
          <w:tcPr>
            <w:tcW w:w="1169"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原告:树根互联股份有限公司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被告:腾达云联（河南）智能科技</w:t>
            </w:r>
            <w:bookmarkStart w:id="0" w:name="_GoBack"/>
            <w:bookmarkEnd w:id="0"/>
            <w:r>
              <w:rPr>
                <w:rFonts w:hint="eastAsia" w:ascii="宋体" w:hAnsi="宋体" w:eastAsia="宋体" w:cs="宋体"/>
                <w:sz w:val="24"/>
                <w:szCs w:val="24"/>
                <w:lang w:val="en-US" w:eastAsia="zh-CN"/>
              </w:rPr>
              <w:t>有限公司</w:t>
            </w:r>
          </w:p>
        </w:tc>
        <w:tc>
          <w:tcPr>
            <w:tcW w:w="142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鉴定涉案开封市工业互联网平台现状（结论应载明：原告依涉案合同交付被告的互联网平台是否符合合同约定、是否符合平台上线报告载明的交付情况、平台现状是否有删改的痕迹），委托编号（2024）委鉴167号</w:t>
            </w:r>
          </w:p>
        </w:tc>
        <w:tc>
          <w:tcPr>
            <w:tcW w:w="1541"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6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（2024）粤0105民诉前调206号</w:t>
            </w:r>
          </w:p>
        </w:tc>
        <w:tc>
          <w:tcPr>
            <w:tcW w:w="1169"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原告:广东祺商建设集团有限公司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被告:广州市海珠区凤阳街凤和鹭江第六经济合作社</w:t>
            </w:r>
          </w:p>
        </w:tc>
        <w:tc>
          <w:tcPr>
            <w:tcW w:w="142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请求对广州市海珠区鹭江南约南新村新冲1号、2号、3号房屋的建筑面积进行测绘，</w:t>
            </w:r>
            <w:r>
              <w:rPr>
                <w:rFonts w:hint="eastAsia" w:ascii="宋体" w:hAnsi="宋体" w:eastAsia="宋体" w:cs="宋体"/>
                <w:sz w:val="24"/>
                <w:szCs w:val="24"/>
                <w:lang w:val="en-US" w:eastAsia="zh-CN"/>
              </w:rPr>
              <w:t>委托编号（2024）委鉴175</w:t>
            </w:r>
            <w:r>
              <w:rPr>
                <w:rFonts w:hint="eastAsia" w:ascii="宋体" w:hAnsi="宋体" w:eastAsia="宋体" w:cs="宋体"/>
                <w:sz w:val="24"/>
                <w:szCs w:val="24"/>
                <w:lang w:val="en-US" w:eastAsia="zh-CN"/>
              </w:rPr>
              <w:t>号</w:t>
            </w:r>
          </w:p>
        </w:tc>
        <w:tc>
          <w:tcPr>
            <w:tcW w:w="1541" w:type="pct"/>
            <w:noWrap w:val="0"/>
            <w:vAlign w:val="top"/>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6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（2024）粤0105民诉前调206号</w:t>
            </w:r>
          </w:p>
        </w:tc>
        <w:tc>
          <w:tcPr>
            <w:tcW w:w="1169"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原告:广东祺商建设集团有限公司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被告:广州市海珠区凤阳街凤和鹭江第六经济合作社</w:t>
            </w:r>
          </w:p>
        </w:tc>
        <w:tc>
          <w:tcPr>
            <w:tcW w:w="142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请求对广州市海珠区鹭江南约南新村新冲1号、2号、3号房屋墙体开裂、地基下沉、渗漏水的建筑质量进行鉴定，</w:t>
            </w:r>
            <w:r>
              <w:rPr>
                <w:rFonts w:hint="eastAsia" w:ascii="宋体" w:hAnsi="宋体" w:eastAsia="宋体" w:cs="宋体"/>
                <w:sz w:val="24"/>
                <w:szCs w:val="24"/>
                <w:lang w:val="en-US" w:eastAsia="zh-CN"/>
              </w:rPr>
              <w:t>委托编号（2024）委鉴176</w:t>
            </w:r>
            <w:r>
              <w:rPr>
                <w:rFonts w:hint="eastAsia" w:ascii="宋体" w:hAnsi="宋体" w:eastAsia="宋体" w:cs="宋体"/>
                <w:sz w:val="24"/>
                <w:szCs w:val="24"/>
                <w:lang w:val="en-US" w:eastAsia="zh-CN"/>
              </w:rPr>
              <w:t>号</w:t>
            </w:r>
          </w:p>
        </w:tc>
        <w:tc>
          <w:tcPr>
            <w:tcW w:w="1541" w:type="pct"/>
            <w:noWrap w:val="0"/>
            <w:vAlign w:val="top"/>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（2024）粤0105民特115号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申请人:蚁湘梅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被申请人:蚁振焜</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对蚁振焜目前的民事行为能力进行鉴定，委托编号（2024）委鉴169号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（2023）粤0105民初21604号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原告:全紫灵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被告:广州市易峰纺织品有限公司</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对被告提交的《劳务协议》中签名“全紫灵”是否本人签署进行鉴定，委托编号（2024）委鉴166号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（2024）粤0105民初2184号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原告:蔡光强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被告:田建涛,广州市砼艺环保建材有限公司,中国平安财产保险股份有限公司深圳市侨香支公司</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对本案原告蔡光强的临床伤残等级进行鉴定，委托编号（2024）委鉴168号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（2024）粤0105民初4560号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原告:黎名庚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被告:宁正云,河源市中东物流有限公司,安诚财产保险股份有限公司深圳分公司</w:t>
            </w:r>
          </w:p>
        </w:tc>
        <w:tc>
          <w:tcPr>
            <w:tcW w:w="1424"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对原告因2023年3月30日的交通事故所受损伤的伤残等级进行鉴定，委托编号（2024）委鉴170号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（2024）粤0105民初4902号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原告:黎六秀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被告:叶新林,广州启程新能源汽车服务有限公司,中国平安财产保险股份有限公司广州市花都支公司</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对原告黎六秀因本案事故造成的损伤是否构成伤残及伤残等级、误工期、护理期、营养期进行鉴定，委托编号（2024）委鉴171号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（2024）粤0105民初5145号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原告:吴连根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被告:蔡齐明,阳光财产保险股份有限公司广州市番禺支公司,中国太平洋财产保险股份有限公司广州分公司</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对原告吴连根因本案事故造成的损伤是否构成伤残及伤残等级、误工期、护理期、营养期进行鉴定，委托编号（2024）委鉴172号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（2024）粤0105民初3323号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原告:王日凤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被告:赖留宝,周东超,中国平安财产保险股份有限公司广东分公司</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对原告因本案事故造成损害是否构成伤残及伤残等级、护理期、营养期、和误工期进行鉴定，委托编号（2024）委鉴173号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（2024）粤0105民诉前调3758号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原告:母秀华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原告申请对被告对其的医疗行为进行医疗过错(损害)鉴定,并确定具体的过错参与度，</w:t>
            </w:r>
            <w:r>
              <w:rPr>
                <w:rFonts w:hint="eastAsia" w:ascii="宋体" w:hAnsi="宋体" w:eastAsia="宋体" w:cs="宋体"/>
                <w:sz w:val="24"/>
                <w:szCs w:val="24"/>
                <w:lang w:val="en-US" w:eastAsia="zh-CN"/>
              </w:rPr>
              <w:t>委托编号（2024）委鉴177</w:t>
            </w:r>
            <w:r>
              <w:rPr>
                <w:rFonts w:hint="eastAsia" w:ascii="宋体" w:hAnsi="宋体" w:eastAsia="宋体" w:cs="宋体"/>
                <w:sz w:val="24"/>
                <w:szCs w:val="24"/>
                <w:lang w:val="en-US" w:eastAsia="zh-CN"/>
              </w:rPr>
              <w:t>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（2024）粤0105民诉前调7304号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原告:梁群英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1.申请鉴定被申请人的医疗过错行为与申请人的损害后果是否存在因果关系；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2.申请鉴定被申请人的医疗过错行为在损害后果中的责任程度，委托编号（2024）委鉴174号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（2024）粤0105民初3602号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原告:黎启幸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被告:张秋玲</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申请对坐落于广州市海珠区仑头村南约六巷15号房屋的价值进行评估，基准日：2024年2月28日，委托编号（2024）委评75号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（2024）粤0105民诉前调2066号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原告:赵春梅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被告:刘东</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车牌号为粤BAF3060、粤A3Y9A7以及位于广州市番禺区钟村街珑翠花园翠鸟街2号1302号房屋内的家具家电以及位于海珠区新港街道怡乐路71号中山大学新教师公寓G1202房屋内的钢琴于2024年5月22日的价值进行评估，委托编号（2024）委评76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（2024）粤0105执5118号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申请人:刘志强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被申请人:广州市力美健金碧都市健身有限公司</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对被执行人广州市力美健金碧都市健身有限公司所有的一批健身设备、器材的市场价值进行评估，制作相关书面报告。评估以现场评估当天为基准日，委托编号（2024）委评77号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（2024）粤0105民诉前调2830号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原告:吴世莲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被告:黄凯杰</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对位于广州市海珠区纺织路东沙街24号大院之九702房以及车牌号为粤AZ71Q0的车辆于2024年6月11日的价值进行评估，委托编号（2024）委评78号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（2023）粤0105民初22066号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原告:广州市海珠区人民政府素社街道办事处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被告:张秀香,张景宏,张惠己</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对案涉广州市海珠区素社直街21号203房、302房屋产权面积的单价市场价格标准进行评估。基准日：2023年11月22日、2004年2月16日。委托编号（2024）委评79号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（2024）粤0105民初4526号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原告:杜钜洲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被告:杜炳新,杜燕琼,朱玉泉</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对坐落于广州市海珠区江南大道中东街42号702房的市场价值进行评估，基准日：2024年3月20日，委托编号（2024）委评80号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86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（2023）粤0105民初22319号</w:t>
            </w:r>
          </w:p>
        </w:tc>
        <w:tc>
          <w:tcPr>
            <w:tcW w:w="116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原告:广州江河幕墙系统工程有限公司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被告:广州福铭置业有限公司,广州福川商务有限公司,华邦建投集团股份有限公司</w:t>
            </w:r>
          </w:p>
        </w:tc>
        <w:tc>
          <w:tcPr>
            <w:tcW w:w="142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1、对广州江河幕墙系统工程有限公司（下称江河幕墙公司）在华邦国际中心项目（AH040108、AH040110地块）已完成的设计变更及现场签证款项进行鉴定；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对江河幕墙在华邦国际中心项目（AH040108、AH040110地块）因为广州福铭置业有限公司（下称福铭公司）、广州福川商务有限公司（下称福川公司）、华邦建投集团股份有限公司（下称华邦公司）工期延期原因造成江河幕墙公司材料涨价经济损失进行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3、对江河幕墙公司在华邦国际中心项目（AH040108、AH040110地块）因为福铭公司、福川公司、华邦公司造成江河幕墙公司工期延期停工窝工经济损失进行鉴定；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4、对江河幕墙公司在华邦国际中心项目（AH040108、AH040110地块）目前工程因为福铭公司、福川公司、华邦公司原因造成江河幕墙公司已到场的积压建筑材料的经济损失进行鉴定；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5、对江河幕墙公司在华邦国际中心项目（AH040108、AH040110地块）已完成的工程量的相应工程造价进行评估。（基准日：2023年11月28日），委托编号（2024）委评81号</w:t>
            </w:r>
          </w:p>
        </w:tc>
        <w:tc>
          <w:tcPr>
            <w:tcW w:w="1541"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9341E"/>
    <w:rsid w:val="09974B58"/>
    <w:rsid w:val="0B57531E"/>
    <w:rsid w:val="125C03D6"/>
    <w:rsid w:val="1329341E"/>
    <w:rsid w:val="20725A35"/>
    <w:rsid w:val="21296AED"/>
    <w:rsid w:val="22DA6856"/>
    <w:rsid w:val="23D61B56"/>
    <w:rsid w:val="26E154E7"/>
    <w:rsid w:val="29AE5D3A"/>
    <w:rsid w:val="33C0628E"/>
    <w:rsid w:val="3B9E6FA2"/>
    <w:rsid w:val="3BC660E8"/>
    <w:rsid w:val="42424428"/>
    <w:rsid w:val="437D6D55"/>
    <w:rsid w:val="4D4A5141"/>
    <w:rsid w:val="50D552AE"/>
    <w:rsid w:val="573D5A94"/>
    <w:rsid w:val="582713F9"/>
    <w:rsid w:val="597D4D33"/>
    <w:rsid w:val="5CD8743F"/>
    <w:rsid w:val="64223DB3"/>
    <w:rsid w:val="73390C60"/>
    <w:rsid w:val="7A890CBB"/>
    <w:rsid w:val="7CCF1D23"/>
    <w:rsid w:val="7FFB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2024-06-20T03:35:00Z</dcterms:created>
  <dc:creator>胡翠金</dc:creator>
  <cp:lastModifiedBy>胡翠金</cp:lastModifiedBy>
  <dcterms:modified xsi:type="dcterms:W3CDTF">2024-06-21T01:45:32Z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