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8</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8</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代表有广州致正工程咨询有限公司、北京建友工程造价咨询有限公司广东分公司、</w:t>
      </w:r>
      <w:r>
        <w:rPr>
          <w:rFonts w:hint="default" w:ascii="仿宋_GB2312" w:eastAsia="仿宋_GB2312"/>
          <w:sz w:val="28"/>
          <w:szCs w:val="28"/>
          <w:lang w:val="en-US" w:eastAsia="zh-CN"/>
        </w:rPr>
        <w:t>中宬建设管理有限公司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广州市国际工程咨询有限公司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广东拓腾工程造价咨询有限公司</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3325"/>
        <w:gridCol w:w="3236"/>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8"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098"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（2024）粤0105民诉前调3703号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原告:黄启升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被告:中国人民财产保险股份有限公司广州市分公司,广州市柏祥汽车出租有限公司,蔡志义</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对本案原告黄启升因案涉事故造成的伤残等级、护理期、营业期、误工期进行鉴定，委托编号（2024）委鉴158号</w:t>
            </w:r>
          </w:p>
        </w:tc>
        <w:tc>
          <w:tcPr>
            <w:tcW w:w="1538"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当事人协商由暨南大学司法鉴定中心承接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（2023）粤0105民初21601号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原告:广州广一集团有限公司,广州市第一水泵厂</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被告:广州贵族世界名车销售有限公司,刘亚友</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广州大道南788号范围内，属于广州广一集团有限公司、广州市第一水泵厂与广州贵族世界名车销售有限公司、刘亚友签订的《股权转让协议》项下约8000平方米土地（位置以该协议书附图确定的土地四至范围为准，下称“案涉土地”）进行测绘，委托编号（2024）委鉴161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（2024）粤0105民特109号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申请人:丘必淳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被申请人:丘必文</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对被申请人丘必文的民事行为能力进行鉴定，委托编号（2024）委鉴152号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（2023）粤0105民初18335号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原告:龙芳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被告:李文绍</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1、对广州市海珠区金沙路27号401房的漏水原因进行鉴定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2、出具对因漏水造成损毁的部位修复方案，委托编号（2024）委鉴162号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（2024）粤0105民初3320号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原告:中节能铁汉环保集团有限公司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被告:广东国咨工程设计有限公司</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对广东国咨工程设计有限公司提交的编号为229852《收款收据》上盖有的“铁汉环保集团有限公司”公章与中节能铁汉环保集团有限公司在公安部门备案的公章一致性进行司法鉴定，委托编号（2024）委鉴163号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（2023）粤0105民初17983号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原告:JING XIAN CHEN（陈敬贤）,KAI NING CHEN（陈凯宁）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被告:黄洁</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提供的落款日期为2022年11月1日的《陈启明先生遗产继承声明书》中“陈启明”的签名为签字原件或签字复印件，对落款日期为2022年11月1日的《陈启明先生遗产继承声明书》中的“陈启明”签名是否为其本人签名进行鉴定，委托编号（2024）委鉴164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（2024）粤0105民诉前调1657号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原告:潘勉珊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被告:晏雪初,广州常林汽车租赁有限公司,永安财产保险股份有限公司广东分公司广州市黄埔营销服务部</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对本案原告潘勉珊因交通事故造成的伤残等级、护理期进行鉴定，委托编号（2024）委鉴103号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原告:周仲强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被告:百胜餐饮（广东）有限公司赤岗北餐厅</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原告周仲强申请对其伤残等级及误工期、营养期、护理期进行鉴定，委托编号（2024）委鉴149号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（2024）粤0105民诉前调2782号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原告:张银芳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被告:广州市海珠区住房和建设局</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对原告张银芳因本案事故造成的伤害进行伤残等级、误工期、营养期及护理期鉴定，委托编号（2024）委鉴151号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（2024）粤0105民诉前调474号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原告:胡大洋,张轩</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被告:颜梓寒,众诚汽车保险股份有限公司,广州市金瑞驰汽车销售有限公司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1.对原告胡大洋因本案事故造成的伤害进行伤残等级、护理期、营养期、误工期进行鉴定；2.对原告张轩受伤的护理期、营养期、误工期进行鉴定，委托编号（2024）委鉴153号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（2024）粤0105民初7067号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原告:谢雪颜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被告:陈蕾、陈江、中国平安财产保险股份有限公司广州中心支公司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对原告谢雪颜因本案事故造成的伤害进行伤残等级、护理期、营养期、误工期进行鉴定，委托编号（2024）委鉴154号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（2024）粤0105民诉前调2544号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原告:陈抗美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被告:中国人民财产保险股份有限公司广州市分公司,张军</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对原告陈抗美因本案事故造成的伤害进行伤残等级、误工期、营养期、护理期鉴定，委托编号（2024）委鉴155号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（2024）粤0105民诉前调3918号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原告:吴结宾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被告:黄晓琳,陈佳玲</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申请进行对原告吴结宾的伤残等级进行鉴定，委托编号（2024）委鉴156号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（2024）粤0105民诉前调2520号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原告:阳林玉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被告:熊斌,南昌市鼎新物流有限公司,中国平安财产保险股份有限公司安义支公司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申请对原告阳林玉进行伤残鉴定，以及对其误工期、护理人数和护理期、营养期、后续治疗费用进行鉴定，委托编号（2024）委鉴157号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（2024）粤0105民初3383号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原告:范程瑞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被告:雷一庄,阿勒泰市阿尔泰山旅游有限公司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摇珠确定三家机构对原告范程瑞于2023年1月22日所受损伤的伤残等级进行鉴定，委托编号（2024）委鉴159号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（2024）粤0105民诉前调1469号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原告:李忠平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被告:陈庆明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对原告李忠平所受人身损害的伤残等级、误工期、护理期、营养期进行鉴定，委托编号（2024）委鉴150号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（2024）粤0105民诉前调4448号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原告:周满明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被告:黄世乾</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对周满明的伤残等级、误工期、护理期、营养期进行鉴定，委托编号（2024）委鉴1</w:t>
            </w:r>
            <w:r>
              <w:rPr>
                <w:rFonts w:hint="eastAsia" w:ascii="宋体" w:hAnsi="宋体" w:cs="宋体"/>
                <w:sz w:val="24"/>
                <w:szCs w:val="24"/>
                <w:lang w:val="en-US" w:eastAsia="zh-CN"/>
              </w:rPr>
              <w:t>65</w:t>
            </w:r>
            <w:r>
              <w:rPr>
                <w:rFonts w:hint="eastAsia" w:ascii="宋体" w:hAnsi="宋体" w:eastAsia="宋体" w:cs="宋体"/>
                <w:sz w:val="24"/>
                <w:szCs w:val="24"/>
                <w:lang w:val="en-US" w:eastAsia="zh-CN"/>
              </w:rPr>
              <w:t>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（2024）粤0105民诉前调851号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原告:王肖霞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对本案被告即医疗机构方的医疗行为进行分析鉴定，确定被告对原告的全部医疗行为是否违反医疗卫生管理法律、行政法规、部门规章和诊疗护理规范、常规；医疗行为是否存在过失；医疗行为是否构成医疗损害结果，医疗行为与损害结果有无因果关系。第二，如被告的医疗行为造成医疗损害结果，对原告因本案医疗行为出现的后果（腹部、肠道、排便功能相关，原告肠瘘长期不愈合，超过一年以及直肠的损伤）是否构成伤残及伤残等级进行鉴定。第三，如被告的医疗行为造成医疗损害结果，对原告的护理期、营养期、误工期进行鉴定，委托编号（2024）委鉴160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二手车评估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（2023）粤0105执17907号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申请方:邓伟平,佘咏婷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被申请方:周小华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对被执行人周小华名下的粤APP463雷克萨斯小型轿车的市场价进行评估，评估日为基准日，委托编号（2024）委评69号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（2023）粤0105强清10号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申请人:广东中汇资产管理集团有限公司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被申请人:广东中汇装饰设计工程有限公司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摇珠确定清算组，委托编号（2023）委鉴359号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（2023）粤0105民初21601号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原告:广州广一集团有限公司,广州市第一水泵厂</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被告:广州贵族世界名车销售有限公司,刘亚友</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广州大道南788号范围内，属于广州广一集团有限公司、广州市第一水泵厂与广州贵族世界名车销售有限公司、刘亚友签订的《股权转让协议》项下约8000平方米土地（位置以该协议书附图确定的土地四至范围为准，下称“案涉土地”），自2008年6月9日起暂计至评估时点日止的市场租金进行评估（评估时点至实际返还之日的占有使用费按评估时点的租金标准计算），委托编号（2024）委评68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（2024）粤0105执4930号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申请人:广州琶醍投资管理有限公司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被申请人:广东鼎悦文化旅游发展有限公司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对一批投影设备进行价格评估，评估日为基准日，委托编号（2024）委评72号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（2024）粤0105民初4666号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原告:周昭文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被告:冼群莲,赵顺祥</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对广州市海珠区石溪冲边西街77号宅基地所建房屋现有市场价值（包括房屋上盖价值及土地价值，分别评估）进行评估。基准日：2024年6月3日，委托编号（2024）委评70号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（2023）粤0105民初22087号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被告:赵霜</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原告明确鉴定评估内容如下：1.广州市荔湾区悦品二街3号（自编号A03栋）1905房自2020年9月9日起至出评估书当日的时间止期间所产生的增值情况。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被告明确鉴定评估内容如下：1.广州云峰原著花园住宅（自编号3#）云曜一街9号8层805房自2020年9月9日起至出评估书当日的时间止期间所产生的的增值情况，委托编号（2024）委评71号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（2024）粤0105民初2546号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原告:广州市铭汉科技股份有限公司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被告:广东中发工程建设有限公司,广州市第二建筑工程有限公司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1.被申请人完成合同附件工程报价清单内工程的造价（见合同、工程报价清单、工程施工图纸、结算书、联系单、签证单、竣工图纸）；</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2、被申请人完成合同附件工程报价清单外工程的造价、以及完成工程报价清单外工程的利润（见施工图纸、竣工图纸）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（珠江琶醍啤酒文化创意园区改造升级项目-汽机锅炉间建设改造项目空调系统设备采购及安装工程造价，请结合现场状况及上述材料评估）上述两项的评估基准日均为2022年3月22日，委托编号（2024）委评73号</w:t>
            </w:r>
          </w:p>
        </w:tc>
        <w:tc>
          <w:tcPr>
            <w:tcW w:w="1538"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（2024）粤0105民初3526号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原告:孙玲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被告:乔飞（广州）室内装修有限公司,乔非</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对案涉广州市海珠区达标国际204房装修工程实际已完成的工程量、工程造价进行鉴定，评估基准日为：2023年11月17日。委托编号（2024）委评7</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号</w:t>
            </w:r>
            <w:bookmarkStart w:id="0" w:name="_GoBack"/>
            <w:bookmarkEnd w:id="0"/>
          </w:p>
        </w:tc>
        <w:tc>
          <w:tcPr>
            <w:tcW w:w="1538"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B71D1"/>
    <w:rsid w:val="01C3077A"/>
    <w:rsid w:val="0D22643B"/>
    <w:rsid w:val="14EE2BD8"/>
    <w:rsid w:val="27330227"/>
    <w:rsid w:val="28A96B7E"/>
    <w:rsid w:val="29B96560"/>
    <w:rsid w:val="32FF3049"/>
    <w:rsid w:val="365E6459"/>
    <w:rsid w:val="428E0D40"/>
    <w:rsid w:val="43FE3807"/>
    <w:rsid w:val="44313484"/>
    <w:rsid w:val="4C050898"/>
    <w:rsid w:val="4D3515B9"/>
    <w:rsid w:val="501A7611"/>
    <w:rsid w:val="52873A48"/>
    <w:rsid w:val="54C0671A"/>
    <w:rsid w:val="56FB7794"/>
    <w:rsid w:val="5B1C1443"/>
    <w:rsid w:val="5EEC18B1"/>
    <w:rsid w:val="5F4D45EA"/>
    <w:rsid w:val="60D131F8"/>
    <w:rsid w:val="6B841AAD"/>
    <w:rsid w:val="6BED76CC"/>
    <w:rsid w:val="72731223"/>
    <w:rsid w:val="7C4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2024-06-06T08:24:00Z</dcterms:created>
  <dc:creator>胡翠金</dc:creator>
  <cp:lastModifiedBy>胡翠金</cp:lastModifiedBy>
  <dcterms:modified xsi:type="dcterms:W3CDTF">2024-06-07T03:29:42Z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