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4</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19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4</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代表有广东飞腾工程咨询有限公司、广东信怡工程造价咨询有限公司、</w:t>
      </w:r>
      <w:r>
        <w:rPr>
          <w:rFonts w:hint="default" w:ascii="仿宋_GB2312" w:eastAsia="仿宋_GB2312"/>
          <w:sz w:val="28"/>
          <w:szCs w:val="28"/>
          <w:lang w:val="en-US" w:eastAsia="zh-CN"/>
        </w:rPr>
        <w:t>广东华穗工程咨询有限公司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广州诚业工程咨询有限公司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广东盛建工程事务咨询有限公司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4"/>
        <w:gridCol w:w="3325"/>
        <w:gridCol w:w="3236"/>
        <w:gridCol w:w="4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3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100"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（2023）粤0105民初21989号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原告:广州景兴建筑科技有限公司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被告:广州珠江建设发展有限公司</w:t>
            </w: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对广州市海珠区南泰路5号的“自编润南花园D#楼”的铝模板标准层面积进行鉴定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）委鉴69</w:t>
            </w:r>
            <w:r>
              <w:rPr>
                <w:rFonts w:hint="eastAsia" w:ascii="宋体" w:hAnsi="宋体" w:eastAsia="宋体" w:cs="宋体"/>
                <w:sz w:val="24"/>
                <w:szCs w:val="24"/>
                <w:lang w:val="en-US" w:eastAsia="zh-CN"/>
              </w:rPr>
              <w:t>号</w:t>
            </w:r>
          </w:p>
        </w:tc>
        <w:tc>
          <w:tcPr>
            <w:tcW w:w="153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w:t>
            </w:r>
            <w:bookmarkStart w:id="0" w:name="_GoBack"/>
            <w:bookmarkEnd w:id="0"/>
            <w:r>
              <w:rPr>
                <w:rFonts w:hint="eastAsia" w:ascii="宋体" w:hAnsi="宋体" w:eastAsia="宋体" w:cs="宋体"/>
                <w:sz w:val="24"/>
                <w:szCs w:val="24"/>
                <w:lang w:val="en-US" w:eastAsia="zh-CN"/>
              </w:rPr>
              <w:t>粤0105民特15号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申请人:黄永珍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被申请人:赖洪辉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对被申请人赖洪辉的民事行为能力进行鉴定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）委鉴68</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（2024）粤0105民初3303号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原告:王成芳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被告:广州瑞荣展览服务有限公司,北京美特隆展览有限公司,上海润博物流有限公司,龚明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对王成芳的伤残等级进行鉴定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）委鉴71</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原告:王克芹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被告:蔡柳城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对本案原告王克芹因交通事故造成的伤残等级、误工期、护理期、营养期、后续治疗费进行鉴定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）委鉴64</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（2024）粤0105民初119号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被告:陈宇,周辰莎,中国人民财产保险股份有限公司广州市分公司,深圳市捷达天安货运代理有限公司</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对原告潘科因本案事故造成的损伤是否构成伤残及伤残等级、护理期、误工期进行鉴定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）委鉴66</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（2023）粤0105民初22157号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原告:黄思嘉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被告:廖金华</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对原告黄思嘉因本案事故造成的损伤是否构成伤残及伤残等级、护理期、误工期进行鉴定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）委鉴67</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被告:唐振涛,广州言升汽车租赁有限公司,永安财产保险股份有限公司广东分公司,武汉风韵出行信息科技有限公司,中国平安财产保险股份有限公司湖北分公司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对申请人吴刚的伤情进行临床伤残等级、精神伤残等级、营养期、误工期、护理期鉴定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）委鉴70</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（2024）粤0105民初215号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原告:陈新河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被告:麦矩彬,广东省石油化工建设集团有限公司环保工程分公司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对原告进行伤残等级、误工期、护理期、营养期鉴定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）委鉴73</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（2022）粤0105民诉前调10533号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原告:赖招灵,刘栢松,曾显云,曾晓萍,曾晓君,曾立维,曾立东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被告:广州医科大学附属第二医院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对本案患者刘仕娥与被告广州医科大学附属第二医院的医疗纠纷进行医疗损害鉴定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）委鉴63</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8"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（2024）粤0105民诉前调101号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原告:丁颖,潘玉凤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对被告南方医科大学珠江医院的诊疗行为是否存在过错，若存在过错，该过错对患者丁金利死亡之间的因果关系及参与度进行鉴定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）委鉴72</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原告:王小平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被告:广东省第二人民医院,中山大学附属第六医院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对本案原告王小平与被告广东省第二人民医院、中山大学附属第六医院的医疗纠纷进行医疗损害鉴定</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）委鉴65</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价格评估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（2023）粤0105民初11672号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原告:广州市海珠区官洲街赤沙第一经济合作社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被告:简志豪</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对广州市海珠区官洲街赤沙东约横街15号（《土地测绘图》编号为GCS01730）的340平方米土地从2019年1月至2023年9月21日的每月每平方米土地的使用价格进行评估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）委评35</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（2023）粤0105民初11673号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原告:广州市海珠区官洲街赤沙第一经济合作社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被告:简伟明,易华清</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对广州市海珠区官洲街赤沙东约横街13号（《土地测绘图》编号为GCS01730与编号为GCS00758之间）的346.19平方米土地从2019年1月至2023年9月21日的每月每平方米土地的使用价格进行评估，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）委评36</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（2023）粤0105民初11674号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原告:广州市海珠区官洲街赤沙第一经济合作社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被告:简伟明,简伟杰,简汉昭</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对广州市海珠区官洲街赤沙东约横街11号（《土地测绘图》编号为GCS00758）的350平方米土地从2019年1月至2023年9月21日的每月每平方米土地的使用价格进行评估，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）委评37</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4"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（2023）粤0105执6836号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申请人:广州市中照水电安装工程有限公司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被申请人:广州市晖邦置业有限公司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评估本院已查封被执行人广州市晖邦置业有限公司名下位于广州市海珠区栖玥街8号地下1层B152、B1137、B1115、B1175、B1140、B1276、B1289、B1302、B1329、B1360、B1367、B1380、B1432车位和地下2层B2118、B2130、B2269、B2460、B2478、B2479、B2487、B2526车位和地下3层B316、B319、B329、B342、B350、B361、B370、B398、B3102、B3105、B3116、B3145、B3175、B3206、B3238、B3267、B3269、B3272、B3280、B3308、B3314、B3367、B3375、B3382、B3393、B3395、B3400、B3445、B3521车位的产权的市场价值（以评估日为评估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）委评38</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（2023）粤0105执2399号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申请人:周阳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被申请人:蒋湘粤</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评估被执行人蒋湘粤名下位于广东省春阳市春城街道松木岗二建宿舍大院内松苑商住楼A8号车库，以评估日为基准日，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）委评39</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（2023）粤0105执7938号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申请人:广州润福钰贸易有限公司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被申请人:广州市铭美健身有限公司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广州市铭美健身有限公司存放位于广州市海珠区革新路天鹅街7号130铺左岸B101铺的物品（详见查封、扣押财产清单，清单以粤资评字22030022号资产评估报告所附评估明细表为准）的市场价值进行评估，以评估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）委评40</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（2023）粤0105民诉前调21136号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原告:刘雪梅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被告:黄炜</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对广州市海珠区下渡路164号805房的房屋价值进行评估，以（2023）粤0105民终8278号案生效之日2023年6月15日为基准日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）委评41</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（2023）粤0105民初20467号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原告:陈志芬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被告:梁飞</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对广州市海珠区沥滘现代城B8栋1101号案涉房屋的市场价值进行评估，评估基准日为2024年2月29日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）委评42</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（2023）粤0105民初17591号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原告:吴植慧</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被告:何晓波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位于广州市海珠区怡乐路嘉怡街9号嘉仕花园504房、广州市海珠区怡乐路嘉怡街9号嘉仕花园803房、位于佛山市南海区大沥镇黄岐沿江路163号时代水岸花园9座701房于2009年1月6日以及于2024年1月31日的价值进行评估，</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）委评43</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（2023）粤0105民初20467号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原告:陈志芬</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被告:梁飞</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对广州市海珠区沥滘现代城B8栋1101号案涉房屋的房屋装修价值进行评估，评估基准日为2024年2月29日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）委评44</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100"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（2023）粤0105民诉前调18458号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原告:侯柏云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被告:广州市海珠区南洲街三滘第十六经济合作社,广州市海珠区南洲街三滘第十一经济合作社,广州市海珠区南洲街三滘第十二经济合作社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对广州市海珠区西滘荔枝基地的工程量及造价（工程范围包括排水道、平整地板、铺设地面围墙、建保安亭、栏杆铁架、车牌号码拦闸、路灯照明、用砖砌成的围墙）进行评估。评估基准日为2023年10月23日</w:t>
            </w:r>
            <w:r>
              <w:rPr>
                <w:rFonts w:hint="eastAsia" w:ascii="宋体" w:hAnsi="宋体" w:eastAsia="宋体" w:cs="宋体"/>
                <w:sz w:val="24"/>
                <w:szCs w:val="24"/>
                <w:lang w:val="en-US" w:eastAsia="zh-CN"/>
              </w:rPr>
              <w:t>，委托编号（2024</w:t>
            </w:r>
            <w:r>
              <w:rPr>
                <w:rFonts w:hint="eastAsia" w:ascii="宋体" w:hAnsi="宋体" w:eastAsia="宋体" w:cs="宋体"/>
                <w:sz w:val="24"/>
                <w:szCs w:val="24"/>
                <w:lang w:val="en-US" w:eastAsia="zh-CN"/>
              </w:rPr>
              <w:t>）委评45</w:t>
            </w:r>
            <w:r>
              <w:rPr>
                <w:rFonts w:hint="eastAsia" w:ascii="宋体" w:hAnsi="宋体" w:eastAsia="宋体" w:cs="宋体"/>
                <w:sz w:val="24"/>
                <w:szCs w:val="24"/>
                <w:lang w:val="en-US" w:eastAsia="zh-CN"/>
              </w:rPr>
              <w:t>号</w:t>
            </w:r>
          </w:p>
        </w:tc>
        <w:tc>
          <w:tcPr>
            <w:tcW w:w="1537"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15</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B32E0"/>
    <w:rsid w:val="1BD53B0D"/>
    <w:rsid w:val="32965A32"/>
    <w:rsid w:val="41622E9E"/>
    <w:rsid w:val="4DF61DE1"/>
    <w:rsid w:val="702B3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2024-03-14T08:28:00Z</dcterms:created>
  <dc:creator>胡翠金</dc:creator>
  <cp:lastModifiedBy>胡翠金</cp:lastModifiedBy>
  <dcterms:modified xsi:type="dcterms:W3CDTF">2024-03-14T09:02:49Z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