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年第</w:t>
      </w:r>
      <w:r>
        <w:rPr>
          <w:rFonts w:hint="eastAsia" w:ascii="仿宋_GB2312" w:eastAsia="仿宋_GB2312"/>
          <w:b/>
          <w:sz w:val="32"/>
          <w:szCs w:val="32"/>
          <w:lang w:val="en-US" w:eastAsia="zh-CN"/>
        </w:rPr>
        <w:t>1</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9</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w:t>
      </w:r>
      <w:r>
        <w:rPr>
          <w:rFonts w:hint="eastAsia" w:ascii="仿宋_GB2312" w:eastAsia="仿宋_GB2312"/>
          <w:sz w:val="28"/>
          <w:szCs w:val="28"/>
          <w:lang w:val="en-US" w:eastAsia="zh-CN"/>
        </w:rPr>
        <w:t>2024</w:t>
      </w:r>
      <w:r>
        <w:rPr>
          <w:rFonts w:hint="eastAsia" w:ascii="仿宋_GB2312" w:eastAsia="仿宋_GB2312"/>
          <w:sz w:val="28"/>
          <w:szCs w:val="28"/>
        </w:rPr>
        <w:t>年度第</w:t>
      </w:r>
      <w:r>
        <w:rPr>
          <w:rFonts w:hint="eastAsia" w:ascii="仿宋_GB2312" w:eastAsia="仿宋_GB2312"/>
          <w:sz w:val="28"/>
          <w:szCs w:val="28"/>
          <w:lang w:val="en-US" w:eastAsia="zh-CN"/>
        </w:rPr>
        <w:t>1</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代表有广东信德资产评估与房地产土地估价有限公司广州分公司、深圳市融泽源资产评估土地房地产估价有限公司广州分公司、</w:t>
      </w:r>
      <w:r>
        <w:rPr>
          <w:rFonts w:hint="default" w:ascii="仿宋_GB2312" w:eastAsia="仿宋_GB2312"/>
          <w:sz w:val="28"/>
          <w:szCs w:val="28"/>
          <w:lang w:val="en-US" w:eastAsia="zh-CN"/>
        </w:rPr>
        <w:t>深圳市世联土地房地产评估有限公司广州分公司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华联世纪工程咨询股份有限公司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广州筑正工程建设管理有限公司</w:t>
      </w:r>
      <w:r>
        <w:rPr>
          <w:rFonts w:hint="eastAsia" w:ascii="仿宋_GB2312" w:eastAsia="仿宋_GB2312"/>
          <w:sz w:val="28"/>
          <w:szCs w:val="28"/>
          <w:lang w:val="en-US" w:eastAsia="zh-CN"/>
        </w:rPr>
        <w:t>。</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0"/>
        <w:gridCol w:w="3325"/>
        <w:gridCol w:w="3236"/>
        <w:gridCol w:w="4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1197"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1165"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1534"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02"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（2023）粤0105民特211号</w:t>
            </w:r>
          </w:p>
        </w:tc>
        <w:tc>
          <w:tcPr>
            <w:tcW w:w="1197"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申请人:梁金燕</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被申请人:梁咏</w:t>
            </w:r>
          </w:p>
        </w:tc>
        <w:tc>
          <w:tcPr>
            <w:tcW w:w="1165"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对梁咏有无民事行为能力进行鉴定，委托编号（2024）委鉴2号</w:t>
            </w:r>
          </w:p>
        </w:tc>
        <w:tc>
          <w:tcPr>
            <w:tcW w:w="1534"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当事人协商选定广州医科大学附属脑科医院司法鉴定中心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（2023）粤0105民特220号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申请人:黄毅明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被申请人:黄志强</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对黄志强有无民事行为能力进行鉴定，委托编号（2024）委鉴3号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（2023）粤0105民诉前调5359号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原告:李坦,潘宁</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被告:吴仰波,吴力维</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1.对申请人李坦、潘宁位于广州市海珠区南洲路倚景街3号305房的房屋受损情况进行鉴定；2.对房屋受损与被告的装修行为之间是否存在因果关系，被告的原因力大小进行鉴定。</w:t>
            </w:r>
            <w:bookmarkStart w:id="0" w:name="_GoBack"/>
            <w:bookmarkEnd w:id="0"/>
            <w:r>
              <w:rPr>
                <w:rFonts w:hint="eastAsia" w:ascii="宋体" w:hAnsi="宋体" w:eastAsia="宋体" w:cs="宋体"/>
                <w:sz w:val="24"/>
                <w:szCs w:val="24"/>
                <w:lang w:val="en-US" w:eastAsia="zh-CN"/>
              </w:rPr>
              <w:t>委托编号（2024）委鉴10号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（2023）粤0105民初16594号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原告:胡克涛</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被告:李威</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对原告胡克涛的伤残等级、误工期、护理期进行鉴定，委托编号（2024）委鉴1号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（2023）粤0105民初18205号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原告:张志雄</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被告:赖海生,中国平安财产保险股份有限公司广州经济技术开发区支公司</w:t>
            </w:r>
          </w:p>
        </w:tc>
        <w:tc>
          <w:tcPr>
            <w:tcW w:w="1165"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对原告张志雄因本次事故造成伤害进行伤残等级鉴定，委托编号（2024）委鉴6号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（2023）粤0105民初21164号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原告:张馨尹</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被告:广州中珀餐饮有限公司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对原告张馨尹因本次事故造成的伤残等级、误工期、营养期、护理依赖程度、护理人数、后续诊疗项目及费用进行鉴定，委托编号（2024）委鉴7号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（2023）粤0105民初20551号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原告:宫小葵</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被告:唐玉连</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对原告因2023年6月15日的事故导致损伤的伤残等级进行鉴定，委托编号（2024）委鉴8号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（2023）粤0105民初20978号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原告:侯璎珂</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被告:毛梓庄</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摇珠确定三家鉴定机构对原告的伤残等级、护理期、误工期、营养期进行鉴定，委托编号（2024）委鉴9号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（2023）粤0105民初19707号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原告:谢德生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被告:周明</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对原告谢德生所受人身损害的伤残等级进行鉴定，委托编号（2024）委鉴4号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（2023）粤0105民初19574号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原告:赖丁亮</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被告:徐兵，陈继斌</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对原告的所受人身损害伤残等级、护理期、误工期、营养期及后续医疗费进行鉴定，委托编号（2024）委鉴5号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价格评估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（2023）粤0105执恢1911号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申请人:广州无缝绿色科技有限公司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被申请人:深圳市旗晟科技有限公司,郑立安</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对被执行人深圳市旗晟科技有限公司存放在东莞市常平镇金美河西路五街1号广州无缝绿色科技有限公司加工厂仓库的物料一批【详见：广州无缝绿色科技有限公司提供的物料清单 共11页】的市场价值进行评估。评估以现场评估当天为基准日，委托编号（2024）委评4号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（2023）粤0105执15831号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申请人:李江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被申请人:梁鹰</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评估第三人文水德持有的湛江市瑞和机动车检测服务有限公司50%的股权的市场价格，以评估日为基准日，委托编号（2023）委评184号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（2023）粤0105执16672号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原告:广州杜德生物科技有限公司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被告:邹婧</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评估被执行人邹婧持有的广州杜德生物科技有限公司的出资额6000000元的股权的市场价格，以评估日为基准日，委托编号（2023）委评185号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（2023）粤0105民初12499号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原告:肖卓玲</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被告:扶敏姗</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1.对广州市海珠区水榕一街16号1008房以及水榕一街14号B289号车位的现市场价值进行评估；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2.对位于佛山市南海区桂城街道环岛东路1号中海万锦熙岸花园三座2801房及佛山市南海区桂城街道环岛东路1号中海万锦熙岸花园负一层250号车位的现市场价值进行评估。评估基准日为：2023年12月20日</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委托编号（2024）委评1号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（2023）粤0105民初10480号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原告:莫四妹，陆健开</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被告:陆泽强</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对案涉广州市海珠区南华西路鳌洲正街31号701房及广州市海珠区南村治安里62号402房的市场价格进行评估。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基准日：评估当日</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委托编号（2024）委评2号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（2023）粤0105民初13885号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原告:广州天越集团有限公司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被告:赖琳,广东合润融资担保有限公司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对登记在广州天越集团有限公司名下位于广州市荔湾区文昌南路137号之一地下室等24套房产（详见附表）在2023年3月31日及2023年11月2日两个时点的房屋市场价值按套分别进行评估。委托编号（2024）委评3号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（2023）粤0105民初15436号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原告:王倩如</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被告:蔡丰，广州欧派装饰有限公司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对案涉海珠区喜胜里18号房三、四层装修工程实际已完成的工程量、工程造价进行鉴定，鉴定基准日为2023年8月7日，委托编号（2024）委评5号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（2023）粤0105民初17935号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原告:广州市花木有限公司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被告:广州市海珠区河涌管理所</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对涉案工程石榴岗河流域景观绿化改造工程的工程造价进行鉴定，鉴定基准日为：2012年7月15日，委托编号（2024）委评6号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（2023）粤0105民初92</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原告:广州乐燊餐饮管理有限公司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被告:广州琶洲院子创意园有限公司,何飞庆</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对广州市海珠区新港东路2842号之六102铺物业的室内装饰装修的现值及残值进行鉴定，鉴定基准日：2023年4月12日，委托编号（2024）委评7号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（2023）粤0105民初19160、19161号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原告:梁巧玲，谭伟军</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被告:中建三局安装工程有限公司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申请对2411-2414四个房间连接墙、2401-2403三个房间的连接墙，以及7个房间靠近走道的门、墙体恢复费用的鉴定，鉴定基准日为2023年12月6日，委托编号（2024）委评8号</w:t>
            </w:r>
          </w:p>
        </w:tc>
        <w:tc>
          <w:tcPr>
            <w:tcW w:w="1534"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（2023）粤0105民初19083号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原告:广东瑞建工程有限公司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被告:中远海运（广州）有限公司海员宾馆</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对海员宾馆北二三层装修改造项目的工程造价进行鉴定，鉴定基准日为工程竣工日即2021年2月28日，委托编号（2024）委评9号</w:t>
            </w:r>
          </w:p>
        </w:tc>
        <w:tc>
          <w:tcPr>
            <w:tcW w:w="1534" w:type="pct"/>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zEzMTY2ZDllNjIwZTY1ZTQxOWFmMmRkYjBiYWQifQ=="/>
  </w:docVars>
  <w:rsids>
    <w:rsidRoot w:val="00CF4A18"/>
    <w:rsid w:val="149B42EE"/>
    <w:rsid w:val="173B0DA4"/>
    <w:rsid w:val="188C3100"/>
    <w:rsid w:val="1FC24AF8"/>
    <w:rsid w:val="204C1F3F"/>
    <w:rsid w:val="239F05A0"/>
    <w:rsid w:val="2D667E0D"/>
    <w:rsid w:val="2F02762F"/>
    <w:rsid w:val="625E2464"/>
    <w:rsid w:val="63A272F5"/>
    <w:rsid w:val="66650F64"/>
    <w:rsid w:val="75ED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2024-01-05T01:20:00Z</dcterms:created>
  <dc:creator>胡翠金</dc:creator>
  <cp:lastModifiedBy>hzfy</cp:lastModifiedBy>
  <dcterms:modified xsi:type="dcterms:W3CDTF">2024-01-10T09:47:30Z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ED8145AD32E64AA4A9CC50FEF2F22D35_12</vt:lpwstr>
  </property>
</Properties>
</file>