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年第</w:t>
      </w:r>
      <w:r>
        <w:rPr>
          <w:rFonts w:hint="eastAsia" w:ascii="仿宋_GB2312" w:eastAsia="仿宋_GB2312"/>
          <w:b/>
          <w:sz w:val="32"/>
          <w:szCs w:val="32"/>
          <w:lang w:val="en-US" w:eastAsia="zh-CN"/>
        </w:rPr>
        <w:t>20</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20</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深圳市国咨土地房地产资产评估有限公司广州市分公司、广州市建证资产评估与土地房地产估价有限公司、深圳市戴德梁行土地房地产评估有限公司广州分公司、广东联信资产评估土地房地产估价有限公司、广东金兰德房地产土地资产评估规划有限公司。</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3325"/>
        <w:gridCol w:w="3236"/>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8"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098"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（2023）粤0105民特194号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申请人:罗利云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被申请人:李文俭</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对李文俭有无民事行为能力进行鉴定，委托编号（2023）委鉴</w:t>
            </w:r>
            <w:r>
              <w:rPr>
                <w:rFonts w:hint="eastAsia" w:ascii="宋体" w:hAnsi="宋体" w:cs="宋体"/>
                <w:sz w:val="24"/>
                <w:szCs w:val="24"/>
                <w:lang w:val="en-US" w:eastAsia="zh-CN"/>
              </w:rPr>
              <w:t>306</w:t>
            </w:r>
            <w:r>
              <w:rPr>
                <w:rFonts w:hint="eastAsia" w:ascii="宋体" w:hAnsi="宋体" w:eastAsia="宋体" w:cs="宋体"/>
                <w:sz w:val="24"/>
                <w:szCs w:val="24"/>
                <w:lang w:val="en-US" w:eastAsia="zh-CN"/>
              </w:rPr>
              <w:t>号</w:t>
            </w:r>
          </w:p>
        </w:tc>
        <w:tc>
          <w:tcPr>
            <w:tcW w:w="1538"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双方协商一致确定由广州医科大学附属脑科医院司法鉴定中心进行本案全部鉴定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098"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（2023）粤0105民初7168号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原告:杨亚新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被告:熊继武、华安财产保险股份有限公司广东分公司</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对原告杨亚新的精神伤残等级（失语、精神障碍或智能减退）进行鉴定，委托编号（2023）委鉴163号</w:t>
            </w:r>
          </w:p>
        </w:tc>
        <w:tc>
          <w:tcPr>
            <w:tcW w:w="1538"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（2023）粤0105民特183号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申请人:黄志伟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被申请人:黄水金</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对被申请人的民事行为能力进行鉴定，委托编号（2023）委鉴293号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（2023）粤0105民特166号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申请人:沈庭葶</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被申请人:沈善波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对沈善波自2021年3月11日至2023年5月17日有无民事行为能力进行鉴定，委托编号（2023）委鉴295号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（2023）粤0105民初15483号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原告:潘洁、成诗英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被告:潘锦平、潘锦彩</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对原告潘洁与被告潘锦平、潘锦彩进行亲缘关系鉴定，明确原告潘洁与被告潘锦平、潘锦彩是否同一父系亲缘关系，委托编号（2023）委鉴297号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（2023）粤0105民初12162号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原告:范向成</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被告:优普道信息科技（广东）集团有限公司、赵榕俊</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申请进行对原告范向成提供的合同证据材料的落款盖章的真实性进行物证类鉴定，委托编号（2023）委鉴304号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（2023）粤0105民初12594号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原告:傅燕珍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被告:广州市城市更新项目建设管理办公室、张少萍、古玉英、邓乐一、杨丽珍、黄朴荣、梁景志</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对广州市海珠区凤凰三街5号102房的漏水原因进行鉴定，委托编号（2023）委鉴301号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（2023）粤0105民初14536号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原告:黄月红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被告:黄浩宇、邓玉梅</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对广州市海珠区建基路79号海印南苑10栋1301房全屋天花板和全屋墙壁的漏水原因进行司法鉴定，委托编号（2023）委鉴302号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（2023）粤0105民初12197号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原告:谭细平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被告:张洁儿</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赤岗路1号大院2号403房的室内走廊、大厅等渗水受损部位的受损情况进行鉴定，鉴定受损部位的渗漏原因是什么？如果不能够鉴定出渗水原因，则鉴定和被告方有无因果关系？另外，需要鉴定机构给出防水处理及修复处理的方案建议，委托编号（2023）委鉴299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（2023）粤0105民初13839号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原告:麦迪笙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被告:吴智华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对广州市海珠区晓港中马路8号108房的漏水原因及因漏水损毁部位进行修复的方案进行鉴定，委托编号（2023）委鉴300号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（2023）粤0105民初9944号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原告:何少琼</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被告:施宗兆、广州新穗巴士有限公司、中华联合财产保险股份有限公司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对本案受害人何少琼进行伤残等级鉴定，委托编号（2023）委鉴305号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（2023）粤0105民初16719号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原告:黄国超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被告:方凡、广州云浩工业材料有限公司、中国人民财产保险股份有限公司广州市经济技术开发区支公司、中国人民财产保险股份有限公司广州市分公司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对原告因2021年7月7日的交通事故受伤的误工期、护理期进行鉴定，委托编号（2023）委鉴292号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（2023）粤0105民初13224号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原告:胡梦涵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被告:郭恩炅、中国人民解放军广东省军区广州第十三离职干部休养所</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对原告的伤残等级进行鉴定，委托编号（2023）委鉴294号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（2023）粤0105民诉前调14355号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原告:邓可锐</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对本案原告邓可锐与被告南方医科大学珠江医院的医疗纠纷进行医疗损害鉴定。委托编号（2023）委鉴296号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（2023）粤0105民诉前调8358号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原告:郑德辉、肖惠兰、钟小兰、郑焱峰、郑凯峰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被告:南方医科大学珠江医院、广州市花都区人民医院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南方医科大学珠江医院、广州市花都区人民医院就患者郑昌的诊疗行为是否存在医疗过错，以及过错与患者郑昌的损害（死亡）后果之间是否存在因果关系及原因力大小进行鉴定，委托编号（2023）委鉴298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（2023）粤0105民初12941-12943号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原告:江家樑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被告:广州市海珠区南洲街东风经济联合社</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申请对广州市海珠区广州大道南路1021号名粤广场第-1层39号、-1层39C、-1层39A号车位自2008年1月18日至2023年9月21日的车位占用费金额进行评估（以年为单位平均价），委托编号（2023）委评146号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（2023）粤0105民初14536号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原告:黄月红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被告:黄浩宇、邓玉梅</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建基路79号海印南苑10栋1301房：大房定制的靠墙柜；房间过道的吊顶天花；大房房间、次卧房间的门框及门；小房间、厨房、洗手间的门框；客厅的鞋柜；小房间的木柜的受损价值进行评估，评估基准日为2023年3月17日，委托编号（2023）委评147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（2023）粤0105民初13345号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原告:陈碧芳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被告:庄坚涛</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对位于广州市海珠区工业大道路凤宁街5号404房于2023年4月30日发生火宅事故当天的财产损失、房屋修复费用进行评估，委托编号（2023）委评148号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bookmarkStart w:id="0" w:name="_GoBack" w:colFirst="0" w:colLast="3"/>
            <w:r>
              <w:rPr>
                <w:rFonts w:hint="eastAsia" w:ascii="宋体" w:hAnsi="宋体" w:eastAsia="宋体" w:cs="宋体"/>
                <w:sz w:val="24"/>
                <w:szCs w:val="24"/>
                <w:lang w:val="en-US" w:eastAsia="zh-CN"/>
              </w:rPr>
              <w:t>（2023）粤0105民初7853号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原告:广州红船汇置业发展有限公司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被告:凯洛斯教育科技（广州）有限公司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位于广州市海珠区新港东路2842号自编13栋之一的整体装修工程总造价（含绿化、附属设施设备、装饰装修造价）进行现值评估；2.对位于广州市海珠区新港东路2842号自编13栋之二、13栋之三、13栋之五、13栋之六、13栋之七、13栋之八的整体装修工程总造价（含整体装修建安工程总造价、绿化、附属设施设备、地基、主体结构、装饰装修造价）进行现值评估。上述两项的评估基准日均为现场勘查之日，</w:t>
            </w:r>
            <w:r>
              <w:rPr>
                <w:rFonts w:hint="eastAsia" w:ascii="宋体" w:hAnsi="宋体" w:eastAsia="宋体" w:cs="宋体"/>
                <w:sz w:val="24"/>
                <w:szCs w:val="24"/>
                <w:lang w:val="en-US" w:eastAsia="zh-CN"/>
              </w:rPr>
              <w:t>委托编号（2023）委评138</w:t>
            </w:r>
            <w:r>
              <w:rPr>
                <w:rFonts w:hint="eastAsia" w:ascii="宋体" w:hAnsi="宋体" w:eastAsia="宋体" w:cs="宋体"/>
                <w:sz w:val="24"/>
                <w:szCs w:val="24"/>
                <w:lang w:val="en-US" w:eastAsia="zh-CN"/>
              </w:rPr>
              <w:t>号</w:t>
            </w:r>
          </w:p>
        </w:tc>
        <w:tc>
          <w:tcPr>
            <w:tcW w:w="1538" w:type="pct"/>
            <w:noWrap w:val="0"/>
            <w:vAlign w:val="center"/>
          </w:tcPr>
          <w:p>
            <w:pPr>
              <w:jc w:val="center"/>
              <w:rPr>
                <w:rFonts w:hint="eastAsia" w:ascii="宋体" w:hAnsi="宋体" w:eastAsia="宋体" w:cs="宋体"/>
                <w:sz w:val="24"/>
                <w:szCs w:val="24"/>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（2022）粤0105执15853号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申请人:广州银行股份有限公司中大支行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被申请人:杨雪</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委托评估被执行人杨雪名下位于广东省佛山市南海区里水镇草场村金碧海岸花园21栋103室的市场价值进行评估，评估基准日为评估之日，委托编号（2023）委评150号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（2023）粤0105民初15738号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原告:陈景亮</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被告:韩宁</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对位于广州市海珠区同福西路16号天誉半岛花园A7栋802房的市场价值进行评估，以2023年10月23日为评估基准日，委托编号（2023）委评149号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（2023）粤0105民初5036号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原告:广州庭院时光环境设计工程有限公司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被告:广州宜龙居商业管理有限公司、北京华美松商业管理有限公司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申请人承包的广州市海珠区128号宜龙居项目园林绿化工程合同范围内的工程进行造价评估鉴定；2.对申请人承包的广州市海珠区128号宜龙居项目园林绿化工程合同范围外的工程进行造价评估鉴定。评估基准日为2022年8月，委托编号（2023）委评125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（2023）粤0105民初14644号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原告:和宏燕</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被告:广州市鲁杰若建筑设计有限公司、陈依汶</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金海湾C座3805室房屋装修现状的实际造价（包括材料费用、工程量、人工费等）进行评估，评估基准日为2020年12月2日；2.对广州市金海湾C座3805室房屋装修出现质量问题需进行修缮（包括重做）所需的费用进行评估（具体明细详见附件），评估基准日为现场评估之日。委托编号（2023）委评151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（2023）粤0105民初9877号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原告:广东昊华建筑工程有限公司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被告:广东中发工程建设有限公司、广东荣森投资发展有限公司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珠江琶醒啤酒文化创意园区改造升级项目-汽机锅炉间改造”的“柱加固及梁柱转换”分部分项目工程的工程价款进行司法鉴定。（基准日为2021年6月3日，适用《广东省房屋建筑和市政修缮工程综合定额（2012）》），委托编号（2023）委评152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（2023）粤0105民初19895号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原告:黄德华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被告:郑志光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对广州市海珠区“广州轻纺交易园47#楼步梯基坑土建工程、步梯基坑梁柱补强工程、新增扶梯基坑地下排污管移改工程”的造价进行鉴定，鉴定基准日为2019年8月31日，委托编号（2023）委评153号</w:t>
            </w:r>
          </w:p>
        </w:tc>
        <w:tc>
          <w:tcPr>
            <w:tcW w:w="1538"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2023年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13749"/>
    <w:rsid w:val="01B41FD8"/>
    <w:rsid w:val="11C406B9"/>
    <w:rsid w:val="1289077A"/>
    <w:rsid w:val="137D22C0"/>
    <w:rsid w:val="141C27AE"/>
    <w:rsid w:val="19C13749"/>
    <w:rsid w:val="1B851150"/>
    <w:rsid w:val="1EBF614A"/>
    <w:rsid w:val="239B5347"/>
    <w:rsid w:val="24485D2E"/>
    <w:rsid w:val="27800307"/>
    <w:rsid w:val="278A4923"/>
    <w:rsid w:val="284B18E1"/>
    <w:rsid w:val="2A621C02"/>
    <w:rsid w:val="2CD30C36"/>
    <w:rsid w:val="325324F6"/>
    <w:rsid w:val="330261B8"/>
    <w:rsid w:val="36D60732"/>
    <w:rsid w:val="38C62A8E"/>
    <w:rsid w:val="38D2396F"/>
    <w:rsid w:val="3FD333F9"/>
    <w:rsid w:val="44AE71A9"/>
    <w:rsid w:val="459A0D6F"/>
    <w:rsid w:val="45C87905"/>
    <w:rsid w:val="4BCE0D8C"/>
    <w:rsid w:val="52A242A4"/>
    <w:rsid w:val="53D216A7"/>
    <w:rsid w:val="543B3EBC"/>
    <w:rsid w:val="62363B1B"/>
    <w:rsid w:val="6F81788C"/>
    <w:rsid w:val="74656B19"/>
    <w:rsid w:val="77DA6171"/>
    <w:rsid w:val="7EB3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2023-11-03T00:59:00Z</dcterms:created>
  <dc:creator>胡翠金</dc:creator>
  <cp:lastModifiedBy>胡翠金</cp:lastModifiedBy>
  <dcterms:modified xsi:type="dcterms:W3CDTF">2023-11-07T02:03:50Z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