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34" w:rsidRPr="00CE7434" w:rsidRDefault="001430B8" w:rsidP="00CE7434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  <w:r w:rsidR="00CE7434" w:rsidRPr="00CE7434">
        <w:rPr>
          <w:rFonts w:hint="eastAsia"/>
          <w:sz w:val="36"/>
          <w:szCs w:val="36"/>
        </w:rPr>
        <w:t>天花石膏板</w:t>
      </w:r>
    </w:p>
    <w:p w:rsidR="00781290" w:rsidRPr="007B76EF" w:rsidRDefault="00CE7434" w:rsidP="007B76EF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宋体" w:eastAsia="宋体" w:hAnsi="宋体" w:cs="宋体"/>
          <w:b/>
          <w:bCs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及检查口板采购</w:t>
      </w:r>
      <w:r w:rsidR="007B76EF" w:rsidRPr="00771AC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项目</w:t>
      </w:r>
      <w:r w:rsidR="001430B8" w:rsidRPr="007B76EF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天花石膏板及检查口板采购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天花石膏板及检查口板采购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11082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天花石膏板及检查口板采购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CE7434" w:rsidRPr="00CE7434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proofErr w:type="gramStart"/>
      <w:r w:rsidR="00CE7434" w:rsidRPr="00CE7434">
        <w:rPr>
          <w:rFonts w:ascii="宋体" w:eastAsia="宋体" w:hAnsi="宋体" w:cs="宋体" w:hint="eastAsia"/>
          <w:kern w:val="0"/>
          <w:sz w:val="28"/>
          <w:szCs w:val="28"/>
        </w:rPr>
        <w:t>骏铭机电</w:t>
      </w:r>
      <w:proofErr w:type="gramEnd"/>
      <w:r w:rsidR="00CE7434" w:rsidRPr="00CE7434">
        <w:rPr>
          <w:rFonts w:ascii="宋体" w:eastAsia="宋体" w:hAnsi="宋体" w:cs="宋体" w:hint="eastAsia"/>
          <w:kern w:val="0"/>
          <w:sz w:val="28"/>
          <w:szCs w:val="28"/>
        </w:rPr>
        <w:t>贸易有限公司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CE7434" w:rsidRPr="00CE7434">
        <w:rPr>
          <w:rFonts w:ascii="宋体" w:eastAsia="宋体" w:hAnsi="宋体" w:cs="宋体"/>
          <w:kern w:val="0"/>
          <w:sz w:val="28"/>
          <w:szCs w:val="28"/>
        </w:rPr>
        <w:t>10992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</w:t>
      </w:r>
      <w:bookmarkStart w:id="0" w:name="_GoBack"/>
      <w:bookmarkEnd w:id="0"/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9E" w:rsidRDefault="00E31E9E" w:rsidP="00E5570F">
      <w:r>
        <w:separator/>
      </w:r>
    </w:p>
  </w:endnote>
  <w:endnote w:type="continuationSeparator" w:id="0">
    <w:p w:rsidR="00E31E9E" w:rsidRDefault="00E31E9E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4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4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9E" w:rsidRDefault="00E31E9E" w:rsidP="00E5570F">
      <w:r>
        <w:separator/>
      </w:r>
    </w:p>
  </w:footnote>
  <w:footnote w:type="continuationSeparator" w:id="0">
    <w:p w:rsidR="00E31E9E" w:rsidRDefault="00E31E9E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837BC"/>
    <w:rsid w:val="003305A4"/>
    <w:rsid w:val="003E46F3"/>
    <w:rsid w:val="00433DA4"/>
    <w:rsid w:val="00474357"/>
    <w:rsid w:val="00485F84"/>
    <w:rsid w:val="0049082B"/>
    <w:rsid w:val="004C4A32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7C1D"/>
    <w:rsid w:val="00DE2502"/>
    <w:rsid w:val="00DE324B"/>
    <w:rsid w:val="00E20565"/>
    <w:rsid w:val="00E31E9E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2023-09-27T07:16:00Z</cp:lastPrinted>
  <dcterms:created xsi:type="dcterms:W3CDTF">2023-08-23T08:13:00Z</dcterms:created>
  <dcterms:modified xsi:type="dcterms:W3CDTF">2023-09-27T07:16:00Z</dcterms:modified>
</cp:coreProperties>
</file>