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3</w:t>
      </w:r>
      <w:r>
        <w:rPr>
          <w:rFonts w:hint="eastAsia" w:ascii="仿宋_GB2312" w:eastAsia="仿宋_GB2312"/>
          <w:b/>
          <w:sz w:val="32"/>
          <w:szCs w:val="32"/>
        </w:rPr>
        <w:t>年第</w:t>
      </w:r>
      <w:r>
        <w:rPr>
          <w:rFonts w:hint="eastAsia" w:ascii="仿宋_GB2312" w:eastAsia="仿宋_GB2312"/>
          <w:b/>
          <w:sz w:val="32"/>
          <w:szCs w:val="32"/>
          <w:lang w:val="en-US" w:eastAsia="zh-CN"/>
        </w:rPr>
        <w:t>15</w:t>
      </w:r>
      <w:r>
        <w:rPr>
          <w:rFonts w:hint="eastAsia" w:ascii="仿宋_GB2312" w:eastAsia="仿宋_GB2312"/>
          <w:b/>
          <w:sz w:val="32"/>
          <w:szCs w:val="32"/>
        </w:rPr>
        <w:t>期摇珠公告</w:t>
      </w:r>
    </w:p>
    <w:p>
      <w:pPr>
        <w:rPr>
          <w:rFonts w:hint="eastAsia" w:ascii="仿宋_GB2312" w:eastAsia="仿宋_GB2312"/>
          <w:sz w:val="28"/>
          <w:szCs w:val="28"/>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现定于202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22</w:t>
      </w:r>
      <w:r>
        <w:rPr>
          <w:rFonts w:hint="eastAsia" w:ascii="仿宋_GB2312" w:eastAsia="仿宋_GB2312"/>
          <w:sz w:val="28"/>
          <w:szCs w:val="28"/>
        </w:rPr>
        <w:t>日下午3时在本院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举行本年度第</w:t>
      </w:r>
      <w:r>
        <w:rPr>
          <w:rFonts w:hint="eastAsia" w:ascii="仿宋_GB2312" w:eastAsia="仿宋_GB2312"/>
          <w:sz w:val="28"/>
          <w:szCs w:val="28"/>
          <w:lang w:val="en-US" w:eastAsia="zh-CN"/>
        </w:rPr>
        <w:t>15</w:t>
      </w:r>
      <w:r>
        <w:rPr>
          <w:rFonts w:hint="eastAsia" w:ascii="仿宋_GB2312" w:eastAsia="仿宋_GB2312"/>
          <w:sz w:val="28"/>
          <w:szCs w:val="28"/>
        </w:rPr>
        <w:t>期摇珠大会。本次摇珠的中介机构</w:t>
      </w:r>
      <w:r>
        <w:rPr>
          <w:rFonts w:hint="eastAsia" w:ascii="仿宋_GB2312" w:eastAsia="仿宋_GB2312"/>
          <w:sz w:val="28"/>
          <w:szCs w:val="28"/>
          <w:lang w:val="en-US" w:eastAsia="zh-CN"/>
        </w:rPr>
        <w:t>代表有广东中广信资产评估有限公司、中联国际评估咨询有限公司、民太安财产保险公估股份有限公司广东分公司、深圳市国众联保险公估股份有限公司广州分公司、广东泰诚保险公估有限公司。</w:t>
      </w:r>
    </w:p>
    <w:tbl>
      <w:tblPr>
        <w:tblStyle w:val="3"/>
        <w:tblW w:w="51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2"/>
        <w:gridCol w:w="3325"/>
        <w:gridCol w:w="3236"/>
        <w:gridCol w:w="4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0"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案号</w:t>
            </w:r>
          </w:p>
        </w:tc>
        <w:tc>
          <w:tcPr>
            <w:tcW w:w="1197"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w:t>
            </w:r>
          </w:p>
        </w:tc>
        <w:tc>
          <w:tcPr>
            <w:tcW w:w="1165"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委托事项</w:t>
            </w:r>
          </w:p>
        </w:tc>
        <w:tc>
          <w:tcPr>
            <w:tcW w:w="1526"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110"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（2023）粤0105民特128号</w:t>
            </w:r>
          </w:p>
        </w:tc>
        <w:tc>
          <w:tcPr>
            <w:tcW w:w="1197"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申请方:毛维聪</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被申请方:黄艳和</w:t>
            </w:r>
          </w:p>
        </w:tc>
        <w:tc>
          <w:tcPr>
            <w:tcW w:w="1165"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对黄艳和有无民事行为能力进行鉴定，委托编号（2023）委鉴230号</w:t>
            </w:r>
          </w:p>
        </w:tc>
        <w:tc>
          <w:tcPr>
            <w:tcW w:w="1526"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双方协商一致由广州医科大学附属脑科医院司法鉴定所承接</w:t>
            </w:r>
          </w:p>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11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（2023）粤0105民特99号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申请人:周鹏翔</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被申请人:黄湘屏</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对被申请人黄湘屏是否具有民事行为能力进行鉴定，委托编号（2023）委鉴237号</w:t>
            </w:r>
          </w:p>
        </w:tc>
        <w:tc>
          <w:tcPr>
            <w:tcW w:w="1526"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双方协商一致选定机构及顺序为：1.南方医科大学司法鉴定中心、2.中山大学法医鉴定中心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11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（2023）粤0105民初12158号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原告:李凯</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被告:广州雍艺装饰工程有限公司、张佳威</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对原告李凯受伤伤残等级、误工期、护理期、营养期进行鉴定，委托编号（2023）委鉴231号</w:t>
            </w:r>
          </w:p>
        </w:tc>
        <w:tc>
          <w:tcPr>
            <w:tcW w:w="1526"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双方协商一致由中山大学法医鉴定中心承接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11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（2023）粤0105民初4842号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原告:江门市蓬江区潮艺五金工艺有限公司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被告:广州市海珠区新伟民机电设备厂</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对案涉设备是否存在质量问题进行司法鉴定，委托编号（2023）委鉴236号</w:t>
            </w:r>
          </w:p>
        </w:tc>
        <w:tc>
          <w:tcPr>
            <w:tcW w:w="1526"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1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（2023）粤0105民初10514号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原告:何春福</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被告:万全</w:t>
            </w:r>
          </w:p>
        </w:tc>
        <w:tc>
          <w:tcPr>
            <w:tcW w:w="1165" w:type="pct"/>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对原告何春福因2021年9月11日的交通事故导致损伤的伤残等级、护理期进行鉴定，委托编号（2023）委鉴232号</w:t>
            </w:r>
          </w:p>
        </w:tc>
        <w:tc>
          <w:tcPr>
            <w:tcW w:w="1526"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1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（2023）粤0105民初7935号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原告:马学龙</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被告:彭子良、江彩</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对原告马学龙因本案事故造成的伤害是否构成伤残及伤残等级进行鉴定，委托编号（2023）委鉴233号</w:t>
            </w:r>
          </w:p>
        </w:tc>
        <w:tc>
          <w:tcPr>
            <w:tcW w:w="1526"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1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（2022）粤0105民初22847号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原告:方尧仙</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被告:胡帮来、蒋超、圆通速递有限公司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对原告方尧仙因本案事故造成的伤害是否构成伤残及伤残等级进行鉴定，由鉴定机构明确原告方尧仙因本案事故造成的伤残等级、误工期、营养期、护理期及后续治疗费进行鉴定，委托编号（2023）委鉴234号</w:t>
            </w:r>
          </w:p>
        </w:tc>
        <w:tc>
          <w:tcPr>
            <w:tcW w:w="1526"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1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（2023）粤0105民初9760号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原告:赵建设</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被告:农毅饮、中国人民财产保险股份有限公司深圳市分公司、深圳顺丰泰森控股（集团）有限公司、广东君润人力资源服务有限公司、广东君润人力资源服务有限公司深圳分公司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对原告赵建设的伤残情况给予级别鉴定，委托编号（2023）委鉴235号</w:t>
            </w:r>
            <w:bookmarkStart w:id="0" w:name="_GoBack"/>
            <w:bookmarkEnd w:id="0"/>
          </w:p>
        </w:tc>
        <w:tc>
          <w:tcPr>
            <w:tcW w:w="1526"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11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（2021）粤0105民诉前调5988号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原告:陈惠琼、陈沛林、陈沛焜</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被告:广州医科大学附属第二医院</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广州医科大学附属第二医院对陈桂燊实施的诊疗行为有无过错；2.广州市医科大学附属第二医院的诊疗行为与陈桂燊损害后果之间是否存在因果关系及原因力大小；3.广州市医科大学附属第二医院是否尽到了说明义务、取得患者及患者近亲属书面同意的义务，委托编号（2023）委鉴89号</w:t>
            </w:r>
          </w:p>
        </w:tc>
        <w:tc>
          <w:tcPr>
            <w:tcW w:w="1526"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1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（2023）粤0105民诉前调7307号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原告:黄翠芳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被告:安丽维（广州）医疗美容门诊部有限责任公司、广州安丽维美容服务有限公司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告安丽维（广州）医疗美容门诊部有限责任公司实施的诊疗行为有无过错，在隆乳手术过程中是否存在医疗过错；对被告安丽维（广州）医疗美容门诊部有限责任公司与原告黄翠芳患有的双侧乳房阔颈膜挛缩症、双侧乳房肌肉挛缩、双侧乳房瘢痕等损害结果之间是否存在相关性及参与度情况，责任程度划定；对黄翠芳受伤的伤残等级；黄翠芳的住院期间及出院后的护理期、误工期、营养期进行鉴定，委托编号（2023）委鉴238号</w:t>
            </w:r>
          </w:p>
        </w:tc>
        <w:tc>
          <w:tcPr>
            <w:tcW w:w="1526"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价格鉴证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1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（2022）粤0105执8324号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申请方:本院刑庭移送执行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被申请方:周钜钊</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以评估日为基准日，评估仿古瓷器2件的市场价值，委托编号（2023）委评38号</w:t>
            </w:r>
          </w:p>
        </w:tc>
        <w:tc>
          <w:tcPr>
            <w:tcW w:w="1526"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会计审计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11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（2023）粤0105民初5582号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原告:广东珠影影视制作有限公司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被告:吴蔚、廖永辉、何国杰、王立、张桂菊</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第三人：广东银星文化传播有限公司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对第三人广东银星文化传播有限公司在2005年3月10日至2020年11月23日注册资本的维持和变动情况进行司法审计，委托编号（2023）委评70号</w:t>
            </w:r>
          </w:p>
        </w:tc>
        <w:tc>
          <w:tcPr>
            <w:tcW w:w="1526"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11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（2023）粤0105民初8748号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原告:郑雪珍</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被告:广州市居佳宾馆有限公司、苏玉言、苏卓立</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第三人：广州市众盛酒店管理有限公司、曾永昌</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对第三人广州市众盛酒店管理有限公司从2021年7月21日至今（2023年8月10日）的收支情况和利润进行专项审计，当中包括了项目广州市江南西华美达安可酒店的利润进行审计，委托编号（2023）委评106号</w:t>
            </w:r>
          </w:p>
        </w:tc>
        <w:tc>
          <w:tcPr>
            <w:tcW w:w="1526"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11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（2023）粤0105民初10326号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原告:王宪君</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被告:王宪琪</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对涉案的广州市海珠区新港中路375号19幢301房在现场评估之日的市场价值进行评估鉴定，委托编号（2023）委评104号</w:t>
            </w:r>
          </w:p>
        </w:tc>
        <w:tc>
          <w:tcPr>
            <w:tcW w:w="1526"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1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（2022）粤0105民初22327号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原告:刘晓新</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被告:金湘怡</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对被告金湘怡名下的位于广州市海珠区建南路6号2005房于2022年10月17日的房屋价值进行评估，委托编号（2023）委评105号</w:t>
            </w:r>
          </w:p>
        </w:tc>
        <w:tc>
          <w:tcPr>
            <w:tcW w:w="1526" w:type="pct"/>
            <w:noWrap w:val="0"/>
            <w:vAlign w:val="center"/>
          </w:tcPr>
          <w:p>
            <w:pPr>
              <w:jc w:val="center"/>
              <w:rPr>
                <w:rFonts w:hint="eastAsia" w:ascii="宋体" w:hAnsi="宋体" w:eastAsia="宋体" w:cs="宋体"/>
                <w:sz w:val="24"/>
                <w:szCs w:val="24"/>
                <w:lang w:val="en-US" w:eastAsia="zh-CN"/>
              </w:rPr>
            </w:pPr>
          </w:p>
        </w:tc>
      </w:tr>
    </w:tbl>
    <w:p>
      <w:pPr>
        <w:jc w:val="right"/>
        <w:rPr>
          <w:rFonts w:hint="default" w:ascii="仿宋_GB2312" w:eastAsia="仿宋_GB2312"/>
          <w:sz w:val="28"/>
          <w:szCs w:val="28"/>
          <w:lang w:val="en-US" w:eastAsia="zh-CN"/>
        </w:rPr>
      </w:pPr>
      <w:r>
        <w:rPr>
          <w:rFonts w:hint="eastAsia" w:ascii="宋体" w:hAnsi="宋体" w:eastAsia="宋体" w:cs="宋体"/>
          <w:sz w:val="24"/>
          <w:szCs w:val="24"/>
          <w:lang w:val="en-US" w:eastAsia="zh-CN"/>
        </w:rPr>
        <w:t>2023年8月18日</w:t>
      </w:r>
    </w:p>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75AAB"/>
    <w:rsid w:val="3BB95E88"/>
    <w:rsid w:val="5E7E5339"/>
    <w:rsid w:val="6A075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2023-08-18T01:10:00Z</dcterms:created>
  <dc:creator>胡翠金</dc:creator>
  <cp:lastModifiedBy>胡翠金</cp:lastModifiedBy>
  <dcterms:modified xsi:type="dcterms:W3CDTF">2023-08-18T03:28:00Z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