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DE" w:rsidRPr="004502DE" w:rsidRDefault="004502DE" w:rsidP="004502DE">
      <w:pPr>
        <w:widowControl/>
        <w:pBdr>
          <w:bottom w:val="single" w:sz="6" w:space="15" w:color="666666"/>
        </w:pBdr>
        <w:spacing w:before="150" w:after="150" w:line="600" w:lineRule="atLeast"/>
        <w:ind w:left="450" w:right="450"/>
        <w:jc w:val="center"/>
        <w:outlineLvl w:val="0"/>
        <w:rPr>
          <w:rFonts w:ascii="微软雅黑" w:eastAsia="微软雅黑" w:hAnsi="微软雅黑" w:cs="宋体"/>
          <w:b/>
          <w:bCs/>
          <w:color w:val="333333"/>
          <w:kern w:val="36"/>
          <w:sz w:val="45"/>
          <w:szCs w:val="45"/>
        </w:rPr>
      </w:pPr>
      <w:r w:rsidRPr="004502DE">
        <w:rPr>
          <w:rFonts w:ascii="微软雅黑" w:eastAsia="微软雅黑" w:hAnsi="微软雅黑" w:cs="宋体" w:hint="eastAsia"/>
          <w:b/>
          <w:bCs/>
          <w:color w:val="333333"/>
          <w:kern w:val="36"/>
          <w:sz w:val="45"/>
          <w:szCs w:val="45"/>
        </w:rPr>
        <w:t>最高人民法院印发《关于审理上市公司破产重整案件工作座谈会纪要》的通知</w:t>
      </w:r>
    </w:p>
    <w:p w:rsidR="004502DE" w:rsidRPr="004502DE" w:rsidRDefault="004502DE" w:rsidP="004502DE">
      <w:pPr>
        <w:widowControl/>
        <w:shd w:val="clear" w:color="auto" w:fill="FFFFFF"/>
        <w:spacing w:line="630" w:lineRule="atLeast"/>
        <w:jc w:val="center"/>
        <w:rPr>
          <w:rFonts w:ascii="微软雅黑" w:eastAsia="微软雅黑" w:hAnsi="微软雅黑" w:cs="宋体"/>
          <w:color w:val="333333"/>
          <w:kern w:val="0"/>
          <w:sz w:val="24"/>
          <w:szCs w:val="24"/>
        </w:rPr>
      </w:pPr>
      <w:r w:rsidRPr="004502DE">
        <w:rPr>
          <w:rFonts w:ascii="微软雅黑" w:eastAsia="微软雅黑" w:hAnsi="微软雅黑" w:cs="宋体" w:hint="eastAsia"/>
          <w:color w:val="333333"/>
          <w:kern w:val="0"/>
          <w:sz w:val="24"/>
          <w:szCs w:val="24"/>
        </w:rPr>
        <w:t>（法[2012]261号）</w:t>
      </w:r>
    </w:p>
    <w:p w:rsidR="004502DE" w:rsidRPr="004502DE" w:rsidRDefault="004502DE" w:rsidP="004502DE">
      <w:pPr>
        <w:widowControl/>
        <w:shd w:val="clear" w:color="auto" w:fill="FFFFFF"/>
        <w:spacing w:line="630" w:lineRule="atLeast"/>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 xml:space="preserve">    </w:t>
      </w:r>
      <w:r w:rsidRPr="004502DE">
        <w:rPr>
          <w:rFonts w:ascii="微软雅黑" w:eastAsia="微软雅黑" w:hAnsi="微软雅黑" w:cs="宋体" w:hint="eastAsia"/>
          <w:color w:val="333333"/>
          <w:kern w:val="0"/>
          <w:sz w:val="24"/>
          <w:szCs w:val="24"/>
        </w:rPr>
        <w:t>各省、自治区、直辖市高级人民法院，解放军军事法院，新疆维吾尔自治区高级人民法院生产建设兵团分院：</w:t>
      </w:r>
      <w:r w:rsidRPr="004502DE">
        <w:rPr>
          <w:rFonts w:ascii="微软雅黑" w:eastAsia="微软雅黑" w:hAnsi="微软雅黑" w:cs="宋体" w:hint="eastAsia"/>
          <w:color w:val="333333"/>
          <w:kern w:val="0"/>
          <w:sz w:val="24"/>
          <w:szCs w:val="24"/>
        </w:rPr>
        <w:br/>
        <w:t xml:space="preserve">　　现将最高人民法院《关于审理上市公司破产重整案件工作座谈会纪要》印发给你们，请结合审判工作实际，遵照执行。</w:t>
      </w:r>
    </w:p>
    <w:p w:rsidR="004502DE" w:rsidRPr="004502DE" w:rsidRDefault="004502DE" w:rsidP="004502DE">
      <w:pPr>
        <w:widowControl/>
        <w:shd w:val="clear" w:color="auto" w:fill="FFFFFF"/>
        <w:spacing w:line="630" w:lineRule="atLeast"/>
        <w:jc w:val="left"/>
        <w:rPr>
          <w:rFonts w:ascii="微软雅黑" w:eastAsia="微软雅黑" w:hAnsi="微软雅黑" w:cs="宋体" w:hint="eastAsia"/>
          <w:color w:val="333333"/>
          <w:kern w:val="0"/>
          <w:sz w:val="24"/>
          <w:szCs w:val="24"/>
        </w:rPr>
      </w:pPr>
      <w:r w:rsidRPr="004502DE">
        <w:rPr>
          <w:rFonts w:ascii="微软雅黑" w:eastAsia="微软雅黑" w:hAnsi="微软雅黑" w:cs="宋体" w:hint="eastAsia"/>
          <w:color w:val="333333"/>
          <w:kern w:val="0"/>
          <w:sz w:val="24"/>
          <w:szCs w:val="24"/>
        </w:rPr>
        <w:t xml:space="preserve">　                                                                       　2012年10月29日</w:t>
      </w:r>
    </w:p>
    <w:p w:rsidR="004502DE" w:rsidRPr="004502DE" w:rsidRDefault="004502DE" w:rsidP="004502DE">
      <w:pPr>
        <w:widowControl/>
        <w:shd w:val="clear" w:color="auto" w:fill="FFFFFF"/>
        <w:spacing w:line="630" w:lineRule="atLeast"/>
        <w:jc w:val="left"/>
        <w:rPr>
          <w:rFonts w:ascii="微软雅黑" w:eastAsia="微软雅黑" w:hAnsi="微软雅黑" w:cs="宋体" w:hint="eastAsia"/>
          <w:color w:val="333333"/>
          <w:kern w:val="0"/>
          <w:sz w:val="24"/>
          <w:szCs w:val="24"/>
        </w:rPr>
      </w:pPr>
      <w:r w:rsidRPr="004502DE">
        <w:rPr>
          <w:rFonts w:ascii="微软雅黑" w:eastAsia="微软雅黑" w:hAnsi="微软雅黑" w:cs="宋体" w:hint="eastAsia"/>
          <w:color w:val="333333"/>
          <w:kern w:val="0"/>
          <w:sz w:val="24"/>
          <w:szCs w:val="24"/>
        </w:rPr>
        <w:t> </w:t>
      </w:r>
    </w:p>
    <w:p w:rsidR="004502DE" w:rsidRPr="004502DE" w:rsidRDefault="004502DE" w:rsidP="004502DE">
      <w:pPr>
        <w:widowControl/>
        <w:shd w:val="clear" w:color="auto" w:fill="FFFFFF"/>
        <w:spacing w:line="630" w:lineRule="atLeast"/>
        <w:jc w:val="center"/>
        <w:rPr>
          <w:rFonts w:ascii="微软雅黑" w:eastAsia="微软雅黑" w:hAnsi="微软雅黑" w:cs="宋体" w:hint="eastAsia"/>
          <w:color w:val="333333"/>
          <w:kern w:val="0"/>
          <w:sz w:val="24"/>
          <w:szCs w:val="24"/>
        </w:rPr>
      </w:pPr>
      <w:r w:rsidRPr="004502DE">
        <w:rPr>
          <w:rFonts w:ascii="微软雅黑" w:eastAsia="微软雅黑" w:hAnsi="微软雅黑" w:cs="宋体" w:hint="eastAsia"/>
          <w:b/>
          <w:bCs/>
          <w:color w:val="333333"/>
          <w:kern w:val="0"/>
          <w:sz w:val="27"/>
        </w:rPr>
        <w:t>关于审理上市公司破产重整案件工作座谈会纪要</w:t>
      </w:r>
    </w:p>
    <w:p w:rsidR="004502DE" w:rsidRPr="004502DE" w:rsidRDefault="004502DE" w:rsidP="004502DE">
      <w:pPr>
        <w:widowControl/>
        <w:shd w:val="clear" w:color="auto" w:fill="FFFFFF"/>
        <w:spacing w:line="630" w:lineRule="atLeast"/>
        <w:jc w:val="left"/>
        <w:rPr>
          <w:rFonts w:ascii="微软雅黑" w:eastAsia="微软雅黑" w:hAnsi="微软雅黑" w:cs="宋体" w:hint="eastAsia"/>
          <w:color w:val="333333"/>
          <w:kern w:val="0"/>
          <w:sz w:val="24"/>
          <w:szCs w:val="24"/>
        </w:rPr>
      </w:pPr>
      <w:r w:rsidRPr="004502DE">
        <w:rPr>
          <w:rFonts w:ascii="微软雅黑" w:eastAsia="微软雅黑" w:hAnsi="微软雅黑" w:cs="宋体" w:hint="eastAsia"/>
          <w:color w:val="333333"/>
          <w:kern w:val="0"/>
          <w:sz w:val="24"/>
          <w:szCs w:val="24"/>
        </w:rPr>
        <w:t xml:space="preserve">　　《企业破产法》施行以来，人民法院依法审理了部分上市公司破产重整案件，最大限度地减少了因上市公司破产清算给社会造成的不良影响，实现了法律效果和社会效果的统一。上市公司破产重整案件的审理不仅涉及到《企业破产法》、《证券法》、《公司法》等法律的适用，还涉及司法程序与行政程序的衔接问题，有必要进一步明确该类案件的审理原则，细化有关程序和实体规定，更好地规范相关主体的权利义务，以充分保护债权人、广大投资者和上市公司的合法权益，优化配置社会资源，促进资本市场健康发展。为此，最高人民法院会同中国证券监督管理委员会，于2012年3月22日在海南省万宁市召开了审理上市公司破产重整案件工作座谈会。与会同志通过认真讨论，就审理上市公司破产重整案件的若干重要问题取得了共识。现纪要如下：</w:t>
      </w:r>
      <w:r w:rsidRPr="004502DE">
        <w:rPr>
          <w:rFonts w:ascii="微软雅黑" w:eastAsia="微软雅黑" w:hAnsi="微软雅黑" w:cs="宋体" w:hint="eastAsia"/>
          <w:color w:val="333333"/>
          <w:kern w:val="0"/>
          <w:sz w:val="24"/>
          <w:szCs w:val="24"/>
        </w:rPr>
        <w:br/>
        <w:t xml:space="preserve">　　一、关于上市公司破产重整案件的审理原则</w:t>
      </w:r>
      <w:r w:rsidRPr="004502DE">
        <w:rPr>
          <w:rFonts w:ascii="微软雅黑" w:eastAsia="微软雅黑" w:hAnsi="微软雅黑" w:cs="宋体" w:hint="eastAsia"/>
          <w:color w:val="333333"/>
          <w:kern w:val="0"/>
          <w:sz w:val="24"/>
          <w:szCs w:val="24"/>
        </w:rPr>
        <w:br/>
        <w:t xml:space="preserve">　　会议认为，上市公司破产重整案件事关资本市场的健康发展，事关广大投资者的利益保护，事关职工权益保障和社会稳定。因此，人民法院应当高度重视此类案件，并在审理中注意坚持以下原则：</w:t>
      </w:r>
      <w:r w:rsidRPr="004502DE">
        <w:rPr>
          <w:rFonts w:ascii="微软雅黑" w:eastAsia="微软雅黑" w:hAnsi="微软雅黑" w:cs="宋体" w:hint="eastAsia"/>
          <w:color w:val="333333"/>
          <w:kern w:val="0"/>
          <w:sz w:val="24"/>
          <w:szCs w:val="24"/>
        </w:rPr>
        <w:br/>
        <w:t xml:space="preserve">　　(一)依法公正审理原则。上市公司破产重整案件参与主体众多，涉及利益关系复杂，人民法院审</w:t>
      </w:r>
      <w:r w:rsidRPr="004502DE">
        <w:rPr>
          <w:rFonts w:ascii="微软雅黑" w:eastAsia="微软雅黑" w:hAnsi="微软雅黑" w:cs="宋体" w:hint="eastAsia"/>
          <w:color w:val="333333"/>
          <w:kern w:val="0"/>
          <w:sz w:val="24"/>
          <w:szCs w:val="24"/>
        </w:rPr>
        <w:lastRenderedPageBreak/>
        <w:t>理上市公司破产重整案件，既要有利于化解上市公司的债务和经营危机，提高上市公司质量，保护债权人和投资者的合法权益，维护证券市场和社会的稳定，又要防止没有再生希望的上市公司利用破产重整程序逃废债务，滥用司法资源和社会资源；既要保护债权人利益，又要兼顾职工利益、出资人利益和社会利益，妥善处理好各方利益的冲突。上市公司重整计划草案未获批准或重整计划执行不能的，人民法院应当及时宣告债务人破产清算。</w:t>
      </w:r>
      <w:r w:rsidRPr="004502DE">
        <w:rPr>
          <w:rFonts w:ascii="微软雅黑" w:eastAsia="微软雅黑" w:hAnsi="微软雅黑" w:cs="宋体" w:hint="eastAsia"/>
          <w:color w:val="333333"/>
          <w:kern w:val="0"/>
          <w:sz w:val="24"/>
          <w:szCs w:val="24"/>
        </w:rPr>
        <w:br/>
        <w:t xml:space="preserve">　　(二)挽救危困企业原则。充分发挥上市公司破产重整制度的作用，为尚有挽救希望的危困企业提供获得新生的机会，有利于上市公司、债权人、出资人、关联企业等各方主体实现共赢，有利于社会资源的有效利用。对于具有重整可能的企业，努力推动重整成功，可以促进就业，优化资源配置，促进产业结构的调整和升级换代，减少上市公司破产清算对社会带来的不利影响。</w:t>
      </w:r>
      <w:r w:rsidRPr="004502DE">
        <w:rPr>
          <w:rFonts w:ascii="微软雅黑" w:eastAsia="微软雅黑" w:hAnsi="微软雅黑" w:cs="宋体" w:hint="eastAsia"/>
          <w:color w:val="333333"/>
          <w:kern w:val="0"/>
          <w:sz w:val="24"/>
          <w:szCs w:val="24"/>
        </w:rPr>
        <w:br/>
        <w:t xml:space="preserve">　　(三)维护社会稳定原则。上市公司进入破产重整程序后，因涉及债权人、上市公司、出资人、企业职工等相关当事人的利益，各方矛盾比较集中和突出，如果处理不当，极易引发群体性、突发性事件，影响社会稳定。人民法院审理上市公司破产重整案件，要充分发挥地方政府的风险预警、部门联动、资金保障等协调机制的作用，积极配合政府做好上市公司重整中的维稳工作，并根据上市公司的特点，加强与证券监管机构的沟通协调。</w:t>
      </w:r>
      <w:r w:rsidRPr="004502DE">
        <w:rPr>
          <w:rFonts w:ascii="微软雅黑" w:eastAsia="微软雅黑" w:hAnsi="微软雅黑" w:cs="宋体" w:hint="eastAsia"/>
          <w:color w:val="333333"/>
          <w:kern w:val="0"/>
          <w:sz w:val="24"/>
          <w:szCs w:val="24"/>
        </w:rPr>
        <w:br/>
        <w:t xml:space="preserve">　　二、关于上市公司破产重整案件的管辖</w:t>
      </w:r>
      <w:r w:rsidRPr="004502DE">
        <w:rPr>
          <w:rFonts w:ascii="微软雅黑" w:eastAsia="微软雅黑" w:hAnsi="微软雅黑" w:cs="宋体" w:hint="eastAsia"/>
          <w:color w:val="333333"/>
          <w:kern w:val="0"/>
          <w:sz w:val="24"/>
          <w:szCs w:val="24"/>
        </w:rPr>
        <w:br/>
        <w:t xml:space="preserve">　　会议认为，上市公司破产重整案件应当由上市公司住所地的人民法院，即上市公司主要办事机构所在地法院管辖；上市公司主要办事机构所在地不明确、存在争议的，由上市公司注册登记地人民法院管辖。由于上市公司破产重整案件涉及法律关系复杂，影响面广，对专业知识和综合能力要求较高，人力物力投入较多，上市公司破产重整案件一般应由中级人民法院管辖。</w:t>
      </w:r>
      <w:r w:rsidRPr="004502DE">
        <w:rPr>
          <w:rFonts w:ascii="微软雅黑" w:eastAsia="微软雅黑" w:hAnsi="微软雅黑" w:cs="宋体" w:hint="eastAsia"/>
          <w:color w:val="333333"/>
          <w:kern w:val="0"/>
          <w:sz w:val="24"/>
          <w:szCs w:val="24"/>
        </w:rPr>
        <w:br/>
        <w:t xml:space="preserve">　　三、关于上市公司破产重整的申请</w:t>
      </w:r>
      <w:r w:rsidRPr="004502DE">
        <w:rPr>
          <w:rFonts w:ascii="微软雅黑" w:eastAsia="微软雅黑" w:hAnsi="微软雅黑" w:cs="宋体" w:hint="eastAsia"/>
          <w:color w:val="333333"/>
          <w:kern w:val="0"/>
          <w:sz w:val="24"/>
          <w:szCs w:val="24"/>
        </w:rPr>
        <w:br/>
        <w:t xml:space="preserve">　　会议认为，上市公司不能清偿到期债务，并且资产不足以清偿全部债务或者明显缺乏清偿能力，或者有明显丧失清偿能力可能的，上市公司或者上市公司的债权人、出资额占上市公司注册资本十分之一以上的出资人可以向人民法院申请对上市公司进行破产重整。</w:t>
      </w:r>
      <w:r w:rsidRPr="004502DE">
        <w:rPr>
          <w:rFonts w:ascii="微软雅黑" w:eastAsia="微软雅黑" w:hAnsi="微软雅黑" w:cs="宋体" w:hint="eastAsia"/>
          <w:color w:val="333333"/>
          <w:kern w:val="0"/>
          <w:sz w:val="24"/>
          <w:szCs w:val="24"/>
        </w:rPr>
        <w:br/>
        <w:t xml:space="preserve">　　申请人申请上市公司破产重整的，除提交《企业破产法》第八条规定的材料外，还应当提交关于</w:t>
      </w:r>
      <w:r w:rsidRPr="004502DE">
        <w:rPr>
          <w:rFonts w:ascii="微软雅黑" w:eastAsia="微软雅黑" w:hAnsi="微软雅黑" w:cs="宋体" w:hint="eastAsia"/>
          <w:color w:val="333333"/>
          <w:kern w:val="0"/>
          <w:sz w:val="24"/>
          <w:szCs w:val="24"/>
        </w:rPr>
        <w:lastRenderedPageBreak/>
        <w:t>上市公司具有重整可行性的报告、上市公司住所地省级人民政府向证券监督管理部门的通报情况材料以及证券监督管理部门的意见、上市公司住所地人民政府出具的维稳预案等。上市公司自行申请破产重整的，还应当提交切实可行的职工安置方案。</w:t>
      </w:r>
      <w:r w:rsidRPr="004502DE">
        <w:rPr>
          <w:rFonts w:ascii="微软雅黑" w:eastAsia="微软雅黑" w:hAnsi="微软雅黑" w:cs="宋体" w:hint="eastAsia"/>
          <w:color w:val="333333"/>
          <w:kern w:val="0"/>
          <w:sz w:val="24"/>
          <w:szCs w:val="24"/>
        </w:rPr>
        <w:br/>
        <w:t xml:space="preserve">　　四、关于对上市公司破产重整申请的审查</w:t>
      </w:r>
      <w:r w:rsidRPr="004502DE">
        <w:rPr>
          <w:rFonts w:ascii="微软雅黑" w:eastAsia="微软雅黑" w:hAnsi="微软雅黑" w:cs="宋体" w:hint="eastAsia"/>
          <w:color w:val="333333"/>
          <w:kern w:val="0"/>
          <w:sz w:val="24"/>
          <w:szCs w:val="24"/>
        </w:rPr>
        <w:br/>
        <w:t xml:space="preserve">　　会议认为，债权人提出重整申请，上市公司在法律规定的时间内提出异议，或者债权人、上市公司、出资人分别向人民法院提出破产清算申请和重整申请的，人民法院应当组织召开听证会。</w:t>
      </w:r>
      <w:r w:rsidRPr="004502DE">
        <w:rPr>
          <w:rFonts w:ascii="微软雅黑" w:eastAsia="微软雅黑" w:hAnsi="微软雅黑" w:cs="宋体" w:hint="eastAsia"/>
          <w:color w:val="333333"/>
          <w:kern w:val="0"/>
          <w:sz w:val="24"/>
          <w:szCs w:val="24"/>
        </w:rPr>
        <w:br/>
        <w:t xml:space="preserve">　　人民法院召开听证会的，应当于听证会召开前通知申请人、被申请人，并送达相关申请材料。公司债权人、出资人、实际控制人等利害关系人申请参加听证的，人民法院应当予以准许。人民法院应当就申请人是否具备申请资格、上市公司是否已经发生重整事由、上市公司是否具有重整可行性等内容进行听证。</w:t>
      </w:r>
      <w:r w:rsidRPr="004502DE">
        <w:rPr>
          <w:rFonts w:ascii="微软雅黑" w:eastAsia="微软雅黑" w:hAnsi="微软雅黑" w:cs="宋体" w:hint="eastAsia"/>
          <w:color w:val="333333"/>
          <w:kern w:val="0"/>
          <w:sz w:val="24"/>
          <w:szCs w:val="24"/>
        </w:rPr>
        <w:br/>
        <w:t xml:space="preserve">　　鉴于上市公司破产重整案件较为敏感，不仅涉及企业职工和二级市场众多投资者的利益安排，还涉及与地方政府和证券监管机构的沟通协调。因此，目前人民法院在裁定受理上市公司破产重整申请前，应当将相关材料逐级报送最高人民法院审查。</w:t>
      </w:r>
      <w:r w:rsidRPr="004502DE">
        <w:rPr>
          <w:rFonts w:ascii="微软雅黑" w:eastAsia="微软雅黑" w:hAnsi="微软雅黑" w:cs="宋体" w:hint="eastAsia"/>
          <w:color w:val="333333"/>
          <w:kern w:val="0"/>
          <w:sz w:val="24"/>
          <w:szCs w:val="24"/>
        </w:rPr>
        <w:br/>
        <w:t xml:space="preserve">　　五、关于对破产重整上市公司的信息保密和披露</w:t>
      </w:r>
      <w:r w:rsidRPr="004502DE">
        <w:rPr>
          <w:rFonts w:ascii="微软雅黑" w:eastAsia="微软雅黑" w:hAnsi="微软雅黑" w:cs="宋体" w:hint="eastAsia"/>
          <w:color w:val="333333"/>
          <w:kern w:val="0"/>
          <w:sz w:val="24"/>
          <w:szCs w:val="24"/>
        </w:rPr>
        <w:br/>
        <w:t xml:space="preserve">　　会议认为，对于股票仍在正常交易的上市公司，在上市公司破产重整申请相关信息披露前，上市公司及其债权人、出资人等利害关系人应当按照法律、行政法规、证券监管机构的部门规章及证券交易所上市规则做好信息保密工作。</w:t>
      </w:r>
      <w:r w:rsidRPr="004502DE">
        <w:rPr>
          <w:rFonts w:ascii="微软雅黑" w:eastAsia="微软雅黑" w:hAnsi="微软雅黑" w:cs="宋体" w:hint="eastAsia"/>
          <w:color w:val="333333"/>
          <w:kern w:val="0"/>
          <w:sz w:val="24"/>
          <w:szCs w:val="24"/>
        </w:rPr>
        <w:br/>
        <w:t xml:space="preserve">　　上市公司的债权人提出破产重整申请的，人民法院应当要求债权人提供其已就此告知上市公司的有关证据。上市公司应当按照相关规则及时履行信息披露义务。</w:t>
      </w:r>
      <w:r w:rsidRPr="004502DE">
        <w:rPr>
          <w:rFonts w:ascii="微软雅黑" w:eastAsia="微软雅黑" w:hAnsi="微软雅黑" w:cs="宋体" w:hint="eastAsia"/>
          <w:color w:val="333333"/>
          <w:kern w:val="0"/>
          <w:sz w:val="24"/>
          <w:szCs w:val="24"/>
        </w:rPr>
        <w:br/>
        <w:t xml:space="preserve">　　上市公司进入破产重整程序后，由管理人履行相关法律、行政法规、部门规章和公司章程规定的原上市公司董事会、董事和高级管理人员承担的职责和义务，上市公司自行管理财产和营业事务的除外。管理人在上市公司破产重整程序中存在信息披露违法违规行为的，应当依法承担相应的责任。</w:t>
      </w:r>
      <w:r w:rsidRPr="004502DE">
        <w:rPr>
          <w:rFonts w:ascii="微软雅黑" w:eastAsia="微软雅黑" w:hAnsi="微软雅黑" w:cs="宋体" w:hint="eastAsia"/>
          <w:color w:val="333333"/>
          <w:kern w:val="0"/>
          <w:sz w:val="24"/>
          <w:szCs w:val="24"/>
        </w:rPr>
        <w:br/>
        <w:t xml:space="preserve">　　六、关于上市公司破产重整计划草案的制定</w:t>
      </w:r>
      <w:r w:rsidRPr="004502DE">
        <w:rPr>
          <w:rFonts w:ascii="微软雅黑" w:eastAsia="微软雅黑" w:hAnsi="微软雅黑" w:cs="宋体" w:hint="eastAsia"/>
          <w:color w:val="333333"/>
          <w:kern w:val="0"/>
          <w:sz w:val="24"/>
          <w:szCs w:val="24"/>
        </w:rPr>
        <w:br/>
        <w:t xml:space="preserve">　　会议认为，上市公司或者管理人制定的上市公司重整计划草案应当包括详细的经营方案。有关经</w:t>
      </w:r>
      <w:r w:rsidRPr="004502DE">
        <w:rPr>
          <w:rFonts w:ascii="微软雅黑" w:eastAsia="微软雅黑" w:hAnsi="微软雅黑" w:cs="宋体" w:hint="eastAsia"/>
          <w:color w:val="333333"/>
          <w:kern w:val="0"/>
          <w:sz w:val="24"/>
          <w:szCs w:val="24"/>
        </w:rPr>
        <w:lastRenderedPageBreak/>
        <w:t>营方案涉及并购重组等行政许可审批事项的，上市公司或管理人应当聘请经证券监管机构核准的财务顾问机构、律师事务所以及具有证券期货业务资格的会计师事务所、资产评估机构等证券服务机构按照证券监管机构的有关要求及格式编制相关材料，并作为重整计划草案及其经营方案的必备文件。</w:t>
      </w:r>
      <w:r w:rsidRPr="004502DE">
        <w:rPr>
          <w:rFonts w:ascii="微软雅黑" w:eastAsia="微软雅黑" w:hAnsi="微软雅黑" w:cs="宋体" w:hint="eastAsia"/>
          <w:color w:val="333333"/>
          <w:kern w:val="0"/>
          <w:sz w:val="24"/>
          <w:szCs w:val="24"/>
        </w:rPr>
        <w:br/>
        <w:t xml:space="preserve">　　控股股东、实际控制人及其关联方在上市公司破产重整程序前因违规占用、担保等行为对上市公司造成损害的，制定重整计划草案时应当根据其过错对控股股东及实际控制人支配的股东的股权作相应调整。</w:t>
      </w:r>
      <w:r w:rsidRPr="004502DE">
        <w:rPr>
          <w:rFonts w:ascii="微软雅黑" w:eastAsia="微软雅黑" w:hAnsi="微软雅黑" w:cs="宋体" w:hint="eastAsia"/>
          <w:color w:val="333333"/>
          <w:kern w:val="0"/>
          <w:sz w:val="24"/>
          <w:szCs w:val="24"/>
        </w:rPr>
        <w:br/>
        <w:t xml:space="preserve">　　七、关于上市公司破产重整中出资人组的表决</w:t>
      </w:r>
      <w:r w:rsidRPr="004502DE">
        <w:rPr>
          <w:rFonts w:ascii="微软雅黑" w:eastAsia="微软雅黑" w:hAnsi="微软雅黑" w:cs="宋体" w:hint="eastAsia"/>
          <w:color w:val="333333"/>
          <w:kern w:val="0"/>
          <w:sz w:val="24"/>
          <w:szCs w:val="24"/>
        </w:rPr>
        <w:br/>
        <w:t xml:space="preserve">　　会议认为，出资人组对重整计划草案中涉及出资人权益调整事项的表决，经参与表决的出资人所持表决权三分之二以上通过的，即为该组通过重整计划草案。</w:t>
      </w:r>
      <w:r w:rsidRPr="004502DE">
        <w:rPr>
          <w:rFonts w:ascii="微软雅黑" w:eastAsia="微软雅黑" w:hAnsi="微软雅黑" w:cs="宋体" w:hint="eastAsia"/>
          <w:color w:val="333333"/>
          <w:kern w:val="0"/>
          <w:sz w:val="24"/>
          <w:szCs w:val="24"/>
        </w:rPr>
        <w:br/>
        <w:t xml:space="preserve">　　考虑到出席表决会议需要耗费一定的人力物力，一些中小投资者可能放弃参加表决会议的权利。为最大限度地保护中小投资者的合法权益，上市公司或者管理人应当提供网络表决的方式，为出资人行使表决权提供便利。关于网络表决权行使的具体方式，可以参照适用中国证券监督管理委员会发布的有关规定。</w:t>
      </w:r>
      <w:r w:rsidRPr="004502DE">
        <w:rPr>
          <w:rFonts w:ascii="微软雅黑" w:eastAsia="微软雅黑" w:hAnsi="微软雅黑" w:cs="宋体" w:hint="eastAsia"/>
          <w:color w:val="333333"/>
          <w:kern w:val="0"/>
          <w:sz w:val="24"/>
          <w:szCs w:val="24"/>
        </w:rPr>
        <w:br/>
        <w:t xml:space="preserve">　　八、关于上市公司重整计划草案的会商机制</w:t>
      </w:r>
      <w:r w:rsidRPr="004502DE">
        <w:rPr>
          <w:rFonts w:ascii="微软雅黑" w:eastAsia="微软雅黑" w:hAnsi="微软雅黑" w:cs="宋体" w:hint="eastAsia"/>
          <w:color w:val="333333"/>
          <w:kern w:val="0"/>
          <w:sz w:val="24"/>
          <w:szCs w:val="24"/>
        </w:rPr>
        <w:br/>
        <w:t xml:space="preserve">　　会议认为，重整计划草案涉及证券监管机构行政许可事项的，受理案件的人民法院应当通过最高人民法院，启动与中国证券监督管理委员会的会商机制。即由最高人民法院将有关材料函送中国证券监督管理委员会，中国证券监督管理委员会安排并购重组专家咨询委员会对会商案件进行研究。并购重组专家咨询委员会应当按照与并购重组审核委员会相同的审核标准，对提起会商的行政许可事项进行研究并出具专家咨询意见。人民法院应当参考专家咨询意见，作出是否批准重整计划草案的裁定。</w:t>
      </w:r>
      <w:r w:rsidRPr="004502DE">
        <w:rPr>
          <w:rFonts w:ascii="微软雅黑" w:eastAsia="微软雅黑" w:hAnsi="微软雅黑" w:cs="宋体" w:hint="eastAsia"/>
          <w:color w:val="333333"/>
          <w:kern w:val="0"/>
          <w:sz w:val="24"/>
          <w:szCs w:val="24"/>
        </w:rPr>
        <w:br/>
        <w:t xml:space="preserve">　　九、关于上市公司重整计划涉及行政许可部分的执行</w:t>
      </w:r>
      <w:r w:rsidRPr="004502DE">
        <w:rPr>
          <w:rFonts w:ascii="微软雅黑" w:eastAsia="微软雅黑" w:hAnsi="微软雅黑" w:cs="宋体" w:hint="eastAsia"/>
          <w:color w:val="333333"/>
          <w:kern w:val="0"/>
          <w:sz w:val="24"/>
          <w:szCs w:val="24"/>
        </w:rPr>
        <w:br/>
        <w:t xml:space="preserve">　　会议认为，人民法院裁定批准重整计划后，重整计划内容涉及证券监管机构并购重组行政许可事项的，上市公司应当按照相关规定履行行政许可核准程序。重整计划草案提交出资人组表决且经人民法院裁定批准后，上市公司无须再行召开股东大会，可以直接向证券监管机构提交出资人组表决结果及人民法院裁定书，以申请并购重组许可申请。并购重组审核委员会审核工作应当充分考虑并购重组</w:t>
      </w:r>
      <w:r w:rsidRPr="004502DE">
        <w:rPr>
          <w:rFonts w:ascii="微软雅黑" w:eastAsia="微软雅黑" w:hAnsi="微软雅黑" w:cs="宋体" w:hint="eastAsia"/>
          <w:color w:val="333333"/>
          <w:kern w:val="0"/>
          <w:sz w:val="24"/>
          <w:szCs w:val="24"/>
        </w:rPr>
        <w:lastRenderedPageBreak/>
        <w:t>专家咨询委员会提交的专家咨询意见。并购重组申请事项获得证券监管机构行政许可后，应当在重整计划的执行期限内实施完成。</w:t>
      </w:r>
      <w:r w:rsidRPr="004502DE">
        <w:rPr>
          <w:rFonts w:ascii="微软雅黑" w:eastAsia="微软雅黑" w:hAnsi="微软雅黑" w:cs="宋体" w:hint="eastAsia"/>
          <w:color w:val="333333"/>
          <w:kern w:val="0"/>
          <w:sz w:val="24"/>
          <w:szCs w:val="24"/>
        </w:rPr>
        <w:br/>
        <w:t xml:space="preserve">　　会议还认为，鉴于上市公司破产重整案件涉及的法律关系复杂，利益主体众多，社会影响较大，人民法院对于审判实践中发现的新情况、新问题，要及时上报。上级人民法院要加强对此类案件的监督指导，加强调查研究，及时总结审判经验，确保依法妥善审理好此类案件。</w:t>
      </w:r>
    </w:p>
    <w:p w:rsidR="001073DA" w:rsidRPr="004502DE" w:rsidRDefault="001073DA"/>
    <w:sectPr w:rsidR="001073DA" w:rsidRPr="004502DE" w:rsidSect="004502D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C11" w:rsidRDefault="00B63C11" w:rsidP="004502DE">
      <w:r>
        <w:separator/>
      </w:r>
    </w:p>
  </w:endnote>
  <w:endnote w:type="continuationSeparator" w:id="0">
    <w:p w:rsidR="00B63C11" w:rsidRDefault="00B63C11" w:rsidP="004502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C11" w:rsidRDefault="00B63C11" w:rsidP="004502DE">
      <w:r>
        <w:separator/>
      </w:r>
    </w:p>
  </w:footnote>
  <w:footnote w:type="continuationSeparator" w:id="0">
    <w:p w:rsidR="00B63C11" w:rsidRDefault="00B63C11" w:rsidP="00450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2DE"/>
    <w:rsid w:val="001073DA"/>
    <w:rsid w:val="001567F0"/>
    <w:rsid w:val="004502DE"/>
    <w:rsid w:val="00B63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paragraph" w:styleId="1">
    <w:name w:val="heading 1"/>
    <w:basedOn w:val="a"/>
    <w:link w:val="1Char"/>
    <w:uiPriority w:val="9"/>
    <w:qFormat/>
    <w:rsid w:val="004502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2DE"/>
    <w:rPr>
      <w:sz w:val="18"/>
      <w:szCs w:val="18"/>
    </w:rPr>
  </w:style>
  <w:style w:type="paragraph" w:styleId="a4">
    <w:name w:val="footer"/>
    <w:basedOn w:val="a"/>
    <w:link w:val="Char0"/>
    <w:uiPriority w:val="99"/>
    <w:semiHidden/>
    <w:unhideWhenUsed/>
    <w:rsid w:val="004502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2DE"/>
    <w:rPr>
      <w:sz w:val="18"/>
      <w:szCs w:val="18"/>
    </w:rPr>
  </w:style>
  <w:style w:type="character" w:customStyle="1" w:styleId="1Char">
    <w:name w:val="标题 1 Char"/>
    <w:basedOn w:val="a0"/>
    <w:link w:val="1"/>
    <w:uiPriority w:val="9"/>
    <w:rsid w:val="004502DE"/>
    <w:rPr>
      <w:rFonts w:ascii="宋体" w:eastAsia="宋体" w:hAnsi="宋体" w:cs="宋体"/>
      <w:b/>
      <w:bCs/>
      <w:kern w:val="36"/>
      <w:sz w:val="48"/>
      <w:szCs w:val="48"/>
    </w:rPr>
  </w:style>
  <w:style w:type="character" w:styleId="a5">
    <w:name w:val="Strong"/>
    <w:basedOn w:val="a0"/>
    <w:uiPriority w:val="22"/>
    <w:qFormat/>
    <w:rsid w:val="004502DE"/>
    <w:rPr>
      <w:b/>
      <w:bCs/>
    </w:rPr>
  </w:style>
</w:styles>
</file>

<file path=word/webSettings.xml><?xml version="1.0" encoding="utf-8"?>
<w:webSettings xmlns:r="http://schemas.openxmlformats.org/officeDocument/2006/relationships" xmlns:w="http://schemas.openxmlformats.org/wordprocessingml/2006/main">
  <w:divs>
    <w:div w:id="416904426">
      <w:bodyDiv w:val="1"/>
      <w:marLeft w:val="0"/>
      <w:marRight w:val="0"/>
      <w:marTop w:val="0"/>
      <w:marBottom w:val="0"/>
      <w:divBdr>
        <w:top w:val="none" w:sz="0" w:space="0" w:color="auto"/>
        <w:left w:val="none" w:sz="0" w:space="0" w:color="auto"/>
        <w:bottom w:val="none" w:sz="0" w:space="0" w:color="auto"/>
        <w:right w:val="none" w:sz="0" w:space="0" w:color="auto"/>
      </w:divBdr>
    </w:div>
    <w:div w:id="1468623758">
      <w:bodyDiv w:val="1"/>
      <w:marLeft w:val="0"/>
      <w:marRight w:val="0"/>
      <w:marTop w:val="0"/>
      <w:marBottom w:val="0"/>
      <w:divBdr>
        <w:top w:val="none" w:sz="0" w:space="0" w:color="auto"/>
        <w:left w:val="none" w:sz="0" w:space="0" w:color="auto"/>
        <w:bottom w:val="none" w:sz="0" w:space="0" w:color="auto"/>
        <w:right w:val="none" w:sz="0" w:space="0" w:color="auto"/>
      </w:divBdr>
      <w:divsChild>
        <w:div w:id="1867282429">
          <w:marLeft w:val="0"/>
          <w:marRight w:val="0"/>
          <w:marTop w:val="0"/>
          <w:marBottom w:val="0"/>
          <w:divBdr>
            <w:top w:val="none" w:sz="0" w:space="0" w:color="auto"/>
            <w:left w:val="none" w:sz="0" w:space="0" w:color="auto"/>
            <w:bottom w:val="none" w:sz="0" w:space="0" w:color="auto"/>
            <w:right w:val="none" w:sz="0" w:space="0" w:color="auto"/>
          </w:divBdr>
        </w:div>
        <w:div w:id="1357852913">
          <w:marLeft w:val="0"/>
          <w:marRight w:val="0"/>
          <w:marTop w:val="0"/>
          <w:marBottom w:val="0"/>
          <w:divBdr>
            <w:top w:val="none" w:sz="0" w:space="0" w:color="auto"/>
            <w:left w:val="none" w:sz="0" w:space="0" w:color="auto"/>
            <w:bottom w:val="none" w:sz="0" w:space="0" w:color="auto"/>
            <w:right w:val="none" w:sz="0" w:space="0" w:color="auto"/>
          </w:divBdr>
        </w:div>
        <w:div w:id="858809931">
          <w:marLeft w:val="0"/>
          <w:marRight w:val="0"/>
          <w:marTop w:val="0"/>
          <w:marBottom w:val="0"/>
          <w:divBdr>
            <w:top w:val="none" w:sz="0" w:space="0" w:color="auto"/>
            <w:left w:val="none" w:sz="0" w:space="0" w:color="auto"/>
            <w:bottom w:val="none" w:sz="0" w:space="0" w:color="auto"/>
            <w:right w:val="none" w:sz="0" w:space="0" w:color="auto"/>
          </w:divBdr>
        </w:div>
        <w:div w:id="168050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3096</Characters>
  <Application>Microsoft Office Word</Application>
  <DocSecurity>0</DocSecurity>
  <Lines>25</Lines>
  <Paragraphs>7</Paragraphs>
  <ScaleCrop>false</ScaleCrop>
  <Company>Microsoft</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2021-03-02T08:16:00Z</dcterms:created>
  <dcterms:modified xsi:type="dcterms:W3CDTF">2021-03-02T08:17:00Z</dcterms:modified>
</cp:coreProperties>
</file>